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D343" w14:textId="37C0B3C7" w:rsidR="00192FAE" w:rsidRPr="00A672AA" w:rsidRDefault="00192FAE" w:rsidP="00D819D9">
      <w:pPr>
        <w:pStyle w:val="Nagwek1"/>
        <w:rPr>
          <w:rFonts w:eastAsiaTheme="minorHAnsi"/>
        </w:rPr>
      </w:pPr>
      <w:r w:rsidRPr="00A672AA">
        <w:rPr>
          <w:rFonts w:eastAsiaTheme="minorHAnsi"/>
        </w:rPr>
        <w:t>KWESTIONARIUSZ</w:t>
      </w:r>
      <w:r w:rsidR="00D819D9">
        <w:rPr>
          <w:rFonts w:eastAsiaTheme="minorHAnsi"/>
        </w:rPr>
        <w:t xml:space="preserve"> – Złącznik nr 1 do Dokumentu konsultacyjnego „Zmiana metody Indeksów Giedłowych – marzec 2023</w:t>
      </w:r>
    </w:p>
    <w:p w14:paraId="7DCF7453" w14:textId="630E6274" w:rsidR="00192FAE" w:rsidRPr="00BB2EBB" w:rsidRDefault="00192FAE" w:rsidP="00192FA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Jaki kurs powinien zostać uwzględniony podczas przeprowadzania operacji wykluczenia spółki</w:t>
      </w:r>
      <w:r w:rsidR="00A672AA" w:rsidRPr="00BB2EBB">
        <w:rPr>
          <w:rFonts w:ascii="Verdana" w:hAnsi="Verdana"/>
          <w:sz w:val="18"/>
          <w:szCs w:val="18"/>
        </w:rPr>
        <w:t xml:space="preserve"> z indeksów giełdowych na wniosek KNF lub BFG, w przypadku, gdy inwestor nie może oczekiwać pieniężnego rozliczenia </w:t>
      </w:r>
      <w:r w:rsidR="00E07ADF">
        <w:rPr>
          <w:rFonts w:ascii="Verdana" w:hAnsi="Verdana"/>
          <w:sz w:val="18"/>
          <w:szCs w:val="18"/>
        </w:rPr>
        <w:t xml:space="preserve">(np. rekompensaty, przepływu pieniężnego, odszkodowania) </w:t>
      </w:r>
      <w:r w:rsidR="00A672AA" w:rsidRPr="00BB2EBB">
        <w:rPr>
          <w:rFonts w:ascii="Verdana" w:hAnsi="Verdana"/>
          <w:sz w:val="18"/>
          <w:szCs w:val="18"/>
        </w:rPr>
        <w:t>ww. operacji</w:t>
      </w:r>
      <w:r w:rsidRPr="00BB2EBB">
        <w:rPr>
          <w:rFonts w:ascii="Verdana" w:hAnsi="Verdana"/>
          <w:sz w:val="18"/>
          <w:szCs w:val="18"/>
        </w:rPr>
        <w:t>?</w:t>
      </w:r>
    </w:p>
    <w:p w14:paraId="1AAE7CD4" w14:textId="0B9A28D9" w:rsidR="00192FAE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7357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192FAE" w:rsidRPr="00BB2EBB">
        <w:rPr>
          <w:rFonts w:ascii="Verdana" w:hAnsi="Verdana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ostatni znany kurs spółki (kurs zamknięcia)</w:t>
      </w:r>
    </w:p>
    <w:p w14:paraId="32F7A16A" w14:textId="08FEA821" w:rsidR="00192FAE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32014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192FAE" w:rsidRPr="00BB2EBB">
        <w:rPr>
          <w:rFonts w:ascii="Verdana" w:hAnsi="Verdana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kurs równy ze</w:t>
      </w:r>
      <w:r w:rsidR="00B62208">
        <w:rPr>
          <w:rFonts w:ascii="Verdana" w:hAnsi="Verdana"/>
          <w:sz w:val="18"/>
          <w:szCs w:val="18"/>
        </w:rPr>
        <w:t>r</w:t>
      </w:r>
      <w:r w:rsidR="00A672AA" w:rsidRPr="00BB2EBB">
        <w:rPr>
          <w:rFonts w:ascii="Verdana" w:hAnsi="Verdana"/>
          <w:sz w:val="18"/>
          <w:szCs w:val="18"/>
        </w:rPr>
        <w:t>o</w:t>
      </w:r>
    </w:p>
    <w:p w14:paraId="60F83586" w14:textId="66988F3B" w:rsidR="00192FAE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57043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92FAE" w:rsidRPr="00BB2EBB">
        <w:rPr>
          <w:rFonts w:ascii="Verdana" w:hAnsi="Verdana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n</w:t>
      </w:r>
      <w:r w:rsidR="00192FAE" w:rsidRPr="00BB2EBB">
        <w:rPr>
          <w:rFonts w:ascii="Verdana" w:hAnsi="Verdana"/>
          <w:sz w:val="18"/>
          <w:szCs w:val="18"/>
        </w:rPr>
        <w:t>ie mam zdania</w:t>
      </w:r>
    </w:p>
    <w:p w14:paraId="6B3693ED" w14:textId="53F55E43" w:rsidR="00D36503" w:rsidRPr="00BB2EBB" w:rsidRDefault="00192FAE" w:rsidP="00192FAE">
      <w:p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Komentarz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rPr>
            <w:rFonts w:ascii="Verdana" w:hAnsi="Verdana"/>
            <w:sz w:val="18"/>
            <w:szCs w:val="18"/>
          </w:rPr>
          <w:id w:val="1596212041"/>
          <w:placeholder>
            <w:docPart w:val="DefaultPlaceholder_-1854013440"/>
          </w:placeholder>
          <w:showingPlcHdr/>
        </w:sdtPr>
        <w:sdtEndPr/>
        <w:sdtContent>
          <w:tr w:rsidR="00192FAE" w:rsidRPr="00BB2EBB" w14:paraId="6FFAE7FF" w14:textId="77777777" w:rsidTr="00187BF4">
            <w:trPr>
              <w:trHeight w:val="1045"/>
            </w:trPr>
            <w:tc>
              <w:tcPr>
                <w:tcW w:w="9062" w:type="dxa"/>
              </w:tcPr>
              <w:p w14:paraId="49703054" w14:textId="10DBAB63" w:rsidR="00192FAE" w:rsidRPr="00BB2EBB" w:rsidRDefault="00EA1845" w:rsidP="00187BF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tr>
        </w:sdtContent>
      </w:sdt>
    </w:tbl>
    <w:p w14:paraId="07A3078B" w14:textId="77777777" w:rsidR="00192FAE" w:rsidRPr="00BB2EBB" w:rsidRDefault="00192FAE" w:rsidP="00192FAE">
      <w:pPr>
        <w:rPr>
          <w:rFonts w:ascii="Verdana" w:hAnsi="Verdana"/>
          <w:sz w:val="18"/>
          <w:szCs w:val="18"/>
        </w:rPr>
      </w:pPr>
    </w:p>
    <w:p w14:paraId="1465142C" w14:textId="594E4FAF" w:rsidR="00192FAE" w:rsidRPr="00BB2EBB" w:rsidRDefault="00A672AA" w:rsidP="00192FA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W jakim terminie spółka w przypadku jak opisany w pyt.1 powinna zostać usunięta z portfeli indeksów</w:t>
      </w:r>
      <w:r w:rsidR="00443372">
        <w:rPr>
          <w:rFonts w:ascii="Verdana" w:hAnsi="Verdana"/>
          <w:sz w:val="18"/>
          <w:szCs w:val="18"/>
        </w:rPr>
        <w:t xml:space="preserve"> przez Administratora</w:t>
      </w:r>
      <w:r w:rsidR="00192FAE" w:rsidRPr="00BB2EBB">
        <w:rPr>
          <w:rFonts w:ascii="Verdana" w:hAnsi="Verdana"/>
          <w:sz w:val="18"/>
          <w:szCs w:val="18"/>
        </w:rPr>
        <w:t>?</w:t>
      </w:r>
    </w:p>
    <w:p w14:paraId="04C3AA10" w14:textId="0A19ABE9" w:rsidR="00192FAE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4408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niezwłocznie po powzięciu informacji o zdarzeniu (niezależnie od działań GPW)</w:t>
      </w:r>
    </w:p>
    <w:p w14:paraId="615FE5A0" w14:textId="256B0D52" w:rsidR="00192FAE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3803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92FAE" w:rsidRPr="00BB2EBB">
        <w:rPr>
          <w:rFonts w:ascii="Verdana" w:hAnsi="Verdana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niezwłocznie po decyzji GPW o zawieszeniu obrotów spółki</w:t>
      </w:r>
    </w:p>
    <w:p w14:paraId="65F8A4DC" w14:textId="5CAC5B89" w:rsidR="00A672AA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91824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672AA" w:rsidRPr="00BB2EBB">
        <w:rPr>
          <w:rFonts w:ascii="Verdana" w:hAnsi="Verdana"/>
          <w:sz w:val="18"/>
          <w:szCs w:val="18"/>
        </w:rPr>
        <w:t xml:space="preserve"> niezwłocznie po decyzji GPW o wykluczeniu spółki z obrotów</w:t>
      </w:r>
    </w:p>
    <w:p w14:paraId="0ED96863" w14:textId="3241A215" w:rsidR="00A672AA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47590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po zakończeniu sesji</w:t>
      </w:r>
    </w:p>
    <w:p w14:paraId="36F925B5" w14:textId="63860601" w:rsidR="00192FAE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83942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n</w:t>
      </w:r>
      <w:r w:rsidR="00192FAE" w:rsidRPr="00BB2EBB">
        <w:rPr>
          <w:rFonts w:ascii="Verdana" w:hAnsi="Verdana"/>
          <w:sz w:val="18"/>
          <w:szCs w:val="18"/>
        </w:rPr>
        <w:t>ie mam zdania</w:t>
      </w:r>
    </w:p>
    <w:p w14:paraId="0F2870E4" w14:textId="77777777" w:rsidR="00192FAE" w:rsidRPr="00BB2EBB" w:rsidRDefault="00192FAE" w:rsidP="00192FAE">
      <w:p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Komentarz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BB2EBB" w14:paraId="41C53509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1580787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7F9008" w14:textId="51360DBB" w:rsidR="00192FAE" w:rsidRPr="00BB2EBB" w:rsidRDefault="00D36503" w:rsidP="00187BF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93692D8" w14:textId="33375CB9" w:rsidR="00565DCE" w:rsidRPr="00BB2EBB" w:rsidRDefault="00565DCE">
      <w:pPr>
        <w:rPr>
          <w:rFonts w:ascii="Verdana" w:hAnsi="Verdana"/>
          <w:sz w:val="18"/>
          <w:szCs w:val="18"/>
        </w:rPr>
      </w:pPr>
    </w:p>
    <w:p w14:paraId="3906D543" w14:textId="0E6A68E7" w:rsidR="00A672AA" w:rsidRPr="00BB2EBB" w:rsidRDefault="00A672AA" w:rsidP="00A672AA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Czy popierasz zmianę zasad dotyczącą progów kwalifikacji spółek do indeksów mWIG40 i sWIG80 na zasadach proporcjonalności?</w:t>
      </w:r>
    </w:p>
    <w:p w14:paraId="56304D6C" w14:textId="4EB4D633" w:rsidR="00A672AA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59270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672AA" w:rsidRPr="00BB2EBB">
        <w:rPr>
          <w:rFonts w:ascii="Verdana" w:hAnsi="Verdana"/>
          <w:sz w:val="18"/>
          <w:szCs w:val="18"/>
        </w:rPr>
        <w:t xml:space="preserve"> tak</w:t>
      </w:r>
    </w:p>
    <w:p w14:paraId="1616F929" w14:textId="5CA4999D" w:rsidR="00A672AA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43686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672AA" w:rsidRPr="00BB2EBB">
        <w:rPr>
          <w:rFonts w:ascii="Verdana" w:hAnsi="Verdana"/>
          <w:sz w:val="18"/>
          <w:szCs w:val="18"/>
        </w:rPr>
        <w:t xml:space="preserve"> nie</w:t>
      </w:r>
    </w:p>
    <w:p w14:paraId="4F6ED5D7" w14:textId="0F93E6A6" w:rsidR="00A672AA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89095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672AA" w:rsidRPr="00BB2EBB">
        <w:rPr>
          <w:rFonts w:ascii="Verdana" w:hAnsi="Verdana"/>
          <w:sz w:val="18"/>
          <w:szCs w:val="18"/>
        </w:rPr>
        <w:t xml:space="preserve"> nie mam zdania</w:t>
      </w:r>
    </w:p>
    <w:p w14:paraId="6A0E884C" w14:textId="77777777" w:rsidR="00A672AA" w:rsidRPr="00BB2EBB" w:rsidRDefault="00A672AA" w:rsidP="00A672AA">
      <w:p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Komentarz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72AA" w:rsidRPr="00BB2EBB" w14:paraId="06FB59B9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-5190091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A8FBABA" w14:textId="13BE72E0" w:rsidR="00A672AA" w:rsidRPr="00BB2EBB" w:rsidRDefault="00D36503" w:rsidP="00187BF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DED05DD" w14:textId="5F08FBC9" w:rsidR="00B23848" w:rsidRDefault="00B23848">
      <w:pPr>
        <w:rPr>
          <w:rFonts w:ascii="Verdana" w:hAnsi="Verdana"/>
          <w:sz w:val="18"/>
          <w:szCs w:val="18"/>
        </w:rPr>
      </w:pPr>
    </w:p>
    <w:p w14:paraId="76B040CF" w14:textId="77777777" w:rsidR="00B23848" w:rsidRDefault="00B238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3BB66337" w14:textId="77777777" w:rsidR="00A672AA" w:rsidRPr="00BB2EBB" w:rsidRDefault="00A672AA">
      <w:pPr>
        <w:rPr>
          <w:rFonts w:ascii="Verdana" w:hAnsi="Verdana"/>
          <w:sz w:val="18"/>
          <w:szCs w:val="18"/>
        </w:rPr>
      </w:pPr>
    </w:p>
    <w:p w14:paraId="2E67E68C" w14:textId="64BE826B" w:rsidR="00A672AA" w:rsidRPr="00BB2EBB" w:rsidRDefault="00A672AA" w:rsidP="00A672AA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Czy popierasz zmianę zasad kwalifikacji spółek z listy rezerwowej do portfeli indeksów WIG20, mWIG40, sWIG80 i WIG30 poprzedzoną weryfikacją spełnienia przez spółkę kryterium wskaźnika MWO w ostatnim miesiącu przed korektą nadzwyczajną?</w:t>
      </w:r>
    </w:p>
    <w:p w14:paraId="630443D3" w14:textId="03366D00" w:rsidR="00A672AA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53208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tak</w:t>
      </w:r>
    </w:p>
    <w:p w14:paraId="35AAF3FB" w14:textId="70758E20" w:rsidR="00A672AA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34092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672AA" w:rsidRPr="00BB2EBB">
        <w:rPr>
          <w:rFonts w:ascii="Verdana" w:hAnsi="Verdana"/>
          <w:sz w:val="18"/>
          <w:szCs w:val="18"/>
        </w:rPr>
        <w:t xml:space="preserve"> nie</w:t>
      </w:r>
    </w:p>
    <w:p w14:paraId="7A5EC776" w14:textId="1CBD5C5A" w:rsidR="00A672AA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96046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A672AA" w:rsidRPr="00BB2EBB">
        <w:rPr>
          <w:rFonts w:ascii="Verdana" w:hAnsi="Verdana"/>
          <w:sz w:val="18"/>
          <w:szCs w:val="18"/>
        </w:rPr>
        <w:t>nie mam zdania</w:t>
      </w:r>
    </w:p>
    <w:p w14:paraId="2116ED8F" w14:textId="77777777" w:rsidR="00A672AA" w:rsidRPr="00BB2EBB" w:rsidRDefault="00A672AA" w:rsidP="00A672AA">
      <w:p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Komentarz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72AA" w:rsidRPr="00BB2EBB" w14:paraId="44FD1B44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344141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7A44BD0" w14:textId="47A08C95" w:rsidR="00A672AA" w:rsidRPr="00BB2EBB" w:rsidRDefault="00D36503" w:rsidP="00187BF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D0BDC17" w14:textId="77777777" w:rsidR="00A672AA" w:rsidRPr="00BB2EBB" w:rsidRDefault="00A672AA" w:rsidP="00A672AA">
      <w:pPr>
        <w:rPr>
          <w:rFonts w:ascii="Verdana" w:hAnsi="Verdana"/>
          <w:sz w:val="18"/>
          <w:szCs w:val="18"/>
        </w:rPr>
      </w:pPr>
    </w:p>
    <w:p w14:paraId="7F76F6E1" w14:textId="604A58A9" w:rsidR="00A672AA" w:rsidRPr="00BB2EBB" w:rsidRDefault="003B3162" w:rsidP="003B3162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Jakie zasady powinny obowiązywać w przypadku weryfikacji spółek „dual listed” pod kątem zasadności ich obecności w portfelach Indeksów Giełdowych w przypadku istotnych różnic w kursach spółki na GPW w porównaniu do giełdy non-GPW</w:t>
      </w:r>
      <w:r w:rsidR="00A672AA" w:rsidRPr="00BB2EBB">
        <w:rPr>
          <w:rFonts w:ascii="Verdana" w:hAnsi="Verdana"/>
          <w:sz w:val="18"/>
          <w:szCs w:val="18"/>
        </w:rPr>
        <w:t>?</w:t>
      </w:r>
    </w:p>
    <w:p w14:paraId="0DEE1FF2" w14:textId="77777777" w:rsidR="003B3162" w:rsidRPr="00BB2EBB" w:rsidRDefault="003B3162" w:rsidP="003B3162">
      <w:p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Etap I</w:t>
      </w:r>
    </w:p>
    <w:p w14:paraId="034C3AD8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Porównanie średniego wolumenu obrotów w okresie referencyjnym na GPW i non-GPW.</w:t>
      </w:r>
    </w:p>
    <w:p w14:paraId="1E7A1F3A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Zakłada się, że spółki, których wolumen obrotu na GPW jest większy niż wolumen obrotu na non-GPW, nie podlegają weryfikacji i są automatycznie klasyfikowane do indeksów</w:t>
      </w:r>
    </w:p>
    <w:p w14:paraId="62B3D673" w14:textId="6742D025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35701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/>
          <w:sz w:val="18"/>
          <w:szCs w:val="18"/>
        </w:rPr>
        <w:t xml:space="preserve"> tak</w:t>
      </w:r>
    </w:p>
    <w:p w14:paraId="2836DFE8" w14:textId="549D3054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72365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3B3162" w:rsidRPr="00BB2EBB">
        <w:rPr>
          <w:rFonts w:ascii="Verdana" w:hAnsi="Verdana"/>
          <w:sz w:val="18"/>
          <w:szCs w:val="18"/>
        </w:rPr>
        <w:t>nie</w:t>
      </w:r>
    </w:p>
    <w:p w14:paraId="5C3890DC" w14:textId="3661D792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25478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/>
          <w:sz w:val="18"/>
          <w:szCs w:val="18"/>
        </w:rPr>
        <w:t xml:space="preserve"> nie mam zdania</w:t>
      </w:r>
    </w:p>
    <w:p w14:paraId="6A9E0174" w14:textId="5280A4DB" w:rsidR="003B3162" w:rsidRPr="00BB2EBB" w:rsidRDefault="003B3162" w:rsidP="003B3162">
      <w:p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Etap II</w:t>
      </w:r>
    </w:p>
    <w:p w14:paraId="4AAAAB30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W przypadku przekroczenia ustalonego akceptowalnego progu X, dochodzi do weryfikacji różnicy między kursami spółki na GPW i non-GPW.</w:t>
      </w:r>
    </w:p>
    <w:p w14:paraId="1076276F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 xml:space="preserve">Weryfikuje się udział różnicy między kursami spółki w stosunku do kursu spółki na GPW. </w:t>
      </w:r>
    </w:p>
    <w:p w14:paraId="1FD37C62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Zakłada się, że w przypadku braku obrotu w okresie referencyjnym,  analizowana spółka nie podlega kwalifikacji do indeksów</w:t>
      </w:r>
    </w:p>
    <w:p w14:paraId="6E433B9E" w14:textId="3A885D22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75590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/>
          <w:sz w:val="18"/>
          <w:szCs w:val="18"/>
        </w:rPr>
        <w:t xml:space="preserve"> tak</w:t>
      </w:r>
    </w:p>
    <w:p w14:paraId="2453006E" w14:textId="4C8A915D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1008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3B3162" w:rsidRPr="00BB2EBB">
        <w:rPr>
          <w:rFonts w:ascii="Verdana" w:hAnsi="Verdana"/>
          <w:sz w:val="18"/>
          <w:szCs w:val="18"/>
        </w:rPr>
        <w:t>nie</w:t>
      </w:r>
    </w:p>
    <w:p w14:paraId="1F444252" w14:textId="79132408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8018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/>
          <w:sz w:val="18"/>
          <w:szCs w:val="18"/>
        </w:rPr>
        <w:t xml:space="preserve"> nie mam zdania</w:t>
      </w:r>
    </w:p>
    <w:p w14:paraId="0AE6A1BE" w14:textId="77777777" w:rsidR="003B3162" w:rsidRPr="00BB2EBB" w:rsidRDefault="003B3162" w:rsidP="003B3162">
      <w:pPr>
        <w:pStyle w:val="Akapitzlist"/>
        <w:rPr>
          <w:rFonts w:ascii="Verdana" w:hAnsi="Verdana"/>
          <w:sz w:val="18"/>
          <w:szCs w:val="18"/>
        </w:rPr>
      </w:pPr>
    </w:p>
    <w:p w14:paraId="344F6BA4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Zakłada się że w przypadku spółek dual listed prowadzących w przeważającej części działalność w kraju i klasyfikowanych jako spółki krajowe, weryfikacji nie stosuje się; co oznacza, że spółka jest automatycznie kwalifikowana do indeksów</w:t>
      </w:r>
    </w:p>
    <w:p w14:paraId="2E91A962" w14:textId="092F9FD9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69935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EBB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/>
          <w:sz w:val="18"/>
          <w:szCs w:val="18"/>
        </w:rPr>
        <w:t xml:space="preserve"> tak</w:t>
      </w:r>
    </w:p>
    <w:p w14:paraId="251BDF3B" w14:textId="0EB9FB51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85354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/>
          <w:sz w:val="18"/>
          <w:szCs w:val="18"/>
        </w:rPr>
        <w:t xml:space="preserve"> nie</w:t>
      </w:r>
    </w:p>
    <w:p w14:paraId="394FB0FA" w14:textId="458124EA" w:rsidR="003B3162" w:rsidRPr="00BB2EBB" w:rsidRDefault="00EA1845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77821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848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/>
          <w:sz w:val="18"/>
          <w:szCs w:val="18"/>
        </w:rPr>
        <w:t xml:space="preserve"> nie mam zdania</w:t>
      </w:r>
    </w:p>
    <w:p w14:paraId="42BC28DF" w14:textId="0671FD47" w:rsidR="00B23848" w:rsidRDefault="00B238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E0E3F38" w14:textId="77777777" w:rsidR="003B3162" w:rsidRPr="00BB2EBB" w:rsidRDefault="003B3162" w:rsidP="003B3162">
      <w:pPr>
        <w:pStyle w:val="Akapitzlist"/>
        <w:rPr>
          <w:rFonts w:ascii="Verdana" w:hAnsi="Verdana"/>
          <w:sz w:val="18"/>
          <w:szCs w:val="18"/>
        </w:rPr>
      </w:pPr>
    </w:p>
    <w:p w14:paraId="08D9E328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W przypadku pozostałych spółek dual listed poziom akceptowalnego progu różnicy w poziomach wolumenu obrotu w okresie referencyjnym proponuje się na poziomie 5%:</w:t>
      </w:r>
    </w:p>
    <w:p w14:paraId="29EC26C3" w14:textId="6902C5D9" w:rsidR="003B3162" w:rsidRPr="00BB2EBB" w:rsidRDefault="00EA1845" w:rsidP="003B3162">
      <w:pPr>
        <w:ind w:left="720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14813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tak </w:t>
      </w:r>
    </w:p>
    <w:p w14:paraId="6397C747" w14:textId="7FA7CFC5" w:rsidR="003B3162" w:rsidRPr="00BB2EBB" w:rsidRDefault="00EA1845" w:rsidP="003B3162">
      <w:pPr>
        <w:ind w:left="720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19842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208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nie, wy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szym, powy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ej 10%</w:t>
      </w:r>
    </w:p>
    <w:p w14:paraId="50C4D0B9" w14:textId="77777777" w:rsidR="003B3162" w:rsidRPr="00BB2EBB" w:rsidRDefault="00EA1845" w:rsidP="003B3162">
      <w:pPr>
        <w:ind w:left="720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10006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nie, wy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szym, powy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ej 20%</w:t>
      </w:r>
    </w:p>
    <w:p w14:paraId="2988328F" w14:textId="31BF6AF4" w:rsidR="003B3162" w:rsidRDefault="00EA1845" w:rsidP="003B3162">
      <w:pPr>
        <w:ind w:left="720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39339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nie, ni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szym, poni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ej 5%</w:t>
      </w:r>
    </w:p>
    <w:p w14:paraId="5BCD0403" w14:textId="77777777" w:rsidR="00443372" w:rsidRPr="00BB2EBB" w:rsidRDefault="00EA1845" w:rsidP="0044337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45717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7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43372" w:rsidRPr="00BB2EBB">
        <w:rPr>
          <w:rFonts w:ascii="Verdana" w:hAnsi="Verdana"/>
          <w:sz w:val="18"/>
          <w:szCs w:val="18"/>
        </w:rPr>
        <w:t xml:space="preserve"> nie mam zdania</w:t>
      </w:r>
    </w:p>
    <w:p w14:paraId="61EAF078" w14:textId="77777777" w:rsidR="003B3162" w:rsidRPr="00BB2EBB" w:rsidRDefault="003B3162" w:rsidP="003B3162">
      <w:pPr>
        <w:pStyle w:val="Akapitzlist"/>
        <w:rPr>
          <w:rFonts w:ascii="Verdana" w:hAnsi="Verdana"/>
          <w:sz w:val="18"/>
          <w:szCs w:val="18"/>
        </w:rPr>
      </w:pPr>
    </w:p>
    <w:p w14:paraId="69085A42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W przypadku spółek dual listed poziom akceptowalnego progu różnicy w poziomach kursów spółki w okresie referencyjnym proponuje się na poziomie 2%:</w:t>
      </w:r>
    </w:p>
    <w:p w14:paraId="007B8CAB" w14:textId="0004CCD1" w:rsidR="003B3162" w:rsidRPr="00BB2EBB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6467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tak</w:t>
      </w:r>
    </w:p>
    <w:p w14:paraId="1ED024CF" w14:textId="77777777" w:rsidR="003B3162" w:rsidRPr="00BB2EBB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33580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nie, na ni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szym 1%</w:t>
      </w:r>
    </w:p>
    <w:p w14:paraId="3220E4E1" w14:textId="77777777" w:rsidR="003B3162" w:rsidRPr="00BB2EBB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5726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nie, na wy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szym 10%</w:t>
      </w:r>
    </w:p>
    <w:p w14:paraId="32F95C40" w14:textId="77777777" w:rsidR="003B3162" w:rsidRPr="00BB2EBB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7543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wy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szym, powy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ej 20%</w:t>
      </w:r>
    </w:p>
    <w:p w14:paraId="2354D08A" w14:textId="631FD921" w:rsidR="003B3162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24384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ni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szym, poni</w:t>
      </w:r>
      <w:r w:rsidR="003B3162" w:rsidRPr="00BB2EBB">
        <w:rPr>
          <w:rFonts w:ascii="Verdana" w:hAnsi="Verdana" w:cs="Calibri"/>
          <w:sz w:val="18"/>
          <w:szCs w:val="18"/>
        </w:rPr>
        <w:t>ż</w:t>
      </w:r>
      <w:r w:rsidR="003B3162" w:rsidRPr="00BB2EBB">
        <w:rPr>
          <w:rFonts w:ascii="Verdana" w:hAnsi="Verdana" w:cs="Segoe UI Symbol"/>
          <w:sz w:val="18"/>
          <w:szCs w:val="18"/>
        </w:rPr>
        <w:t>ej 5%</w:t>
      </w:r>
    </w:p>
    <w:p w14:paraId="15904F31" w14:textId="77777777" w:rsidR="00443372" w:rsidRPr="00BB2EBB" w:rsidRDefault="00EA1845" w:rsidP="0044337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42233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7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43372" w:rsidRPr="00BB2EBB">
        <w:rPr>
          <w:rFonts w:ascii="Verdana" w:hAnsi="Verdana"/>
          <w:sz w:val="18"/>
          <w:szCs w:val="18"/>
        </w:rPr>
        <w:t xml:space="preserve"> nie mam zdania</w:t>
      </w:r>
    </w:p>
    <w:p w14:paraId="07D112B1" w14:textId="77777777" w:rsidR="003B3162" w:rsidRPr="00BB2EBB" w:rsidRDefault="003B3162" w:rsidP="003B3162">
      <w:pPr>
        <w:ind w:left="708"/>
        <w:rPr>
          <w:rFonts w:ascii="Verdana" w:hAnsi="Verdana" w:cs="Segoe UI Symbol"/>
          <w:sz w:val="18"/>
          <w:szCs w:val="18"/>
        </w:rPr>
      </w:pPr>
    </w:p>
    <w:p w14:paraId="7AC6D63E" w14:textId="77777777" w:rsidR="003B3162" w:rsidRPr="00BB2EBB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W przypadku kwalifikacji spółek rekomenduje się zastosowanie kwalifikacji spółek dual listed, czyli usuwanie spółek z portfelu indeksów w trybie</w:t>
      </w:r>
    </w:p>
    <w:p w14:paraId="39160B16" w14:textId="4D277F86" w:rsidR="003B3162" w:rsidRPr="00BB2EBB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53519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kwartalnym, zgodnie z kalendarzem rewizji i korekt okresowych</w:t>
      </w:r>
    </w:p>
    <w:p w14:paraId="1DB42548" w14:textId="5C3AC41F" w:rsidR="003B3162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2229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rocznym </w:t>
      </w:r>
    </w:p>
    <w:p w14:paraId="2839D672" w14:textId="77777777" w:rsidR="00443372" w:rsidRPr="00BB2EBB" w:rsidRDefault="00EA1845" w:rsidP="0044337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59922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7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43372" w:rsidRPr="00BB2EBB">
        <w:rPr>
          <w:rFonts w:ascii="Verdana" w:hAnsi="Verdana"/>
          <w:sz w:val="18"/>
          <w:szCs w:val="18"/>
        </w:rPr>
        <w:t xml:space="preserve"> nie mam zdania</w:t>
      </w:r>
    </w:p>
    <w:p w14:paraId="23071047" w14:textId="77777777" w:rsidR="003B3162" w:rsidRPr="00BB2EBB" w:rsidRDefault="003B3162" w:rsidP="003B3162">
      <w:pPr>
        <w:pStyle w:val="Akapitzlist"/>
        <w:rPr>
          <w:rFonts w:ascii="Verdana" w:hAnsi="Verdana"/>
          <w:sz w:val="18"/>
          <w:szCs w:val="18"/>
        </w:rPr>
      </w:pPr>
    </w:p>
    <w:p w14:paraId="61083474" w14:textId="4DD27B5B" w:rsidR="003B3162" w:rsidRPr="00B23848" w:rsidRDefault="003B3162" w:rsidP="00B23848">
      <w:pPr>
        <w:pStyle w:val="Akapitzlist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23848">
        <w:rPr>
          <w:rFonts w:ascii="Verdana" w:hAnsi="Verdana"/>
          <w:sz w:val="18"/>
          <w:szCs w:val="18"/>
        </w:rPr>
        <w:t>W przypadku kwalifikacji spółek rekomenduje się zastosowanie kwalifikacji spółek dual listed, czyli usuwanie spółek z indeksów:</w:t>
      </w:r>
    </w:p>
    <w:p w14:paraId="12D13CFB" w14:textId="49D2796A" w:rsidR="003B3162" w:rsidRPr="00BB2EBB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206255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wszystkie Indeksy Gie</w:t>
      </w:r>
      <w:r w:rsidR="003B3162" w:rsidRPr="00BB2EBB">
        <w:rPr>
          <w:rFonts w:ascii="Verdana" w:hAnsi="Verdana" w:cs="Calibri"/>
          <w:sz w:val="18"/>
          <w:szCs w:val="18"/>
        </w:rPr>
        <w:t>ł</w:t>
      </w:r>
      <w:r w:rsidR="003B3162" w:rsidRPr="00BB2EBB">
        <w:rPr>
          <w:rFonts w:ascii="Verdana" w:hAnsi="Verdana" w:cs="Segoe UI Symbol"/>
          <w:sz w:val="18"/>
          <w:szCs w:val="18"/>
        </w:rPr>
        <w:t>dowe oraz CEEplus</w:t>
      </w:r>
    </w:p>
    <w:p w14:paraId="785A0BA2" w14:textId="7CB2E03F" w:rsidR="003B3162" w:rsidRPr="00BB2EBB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15136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BB2EBB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WIG20, mWIG40, sWIG80 i WIG30, a w konsekwencji WIG140, indeksy makrosektorowe, WIG-ESG i WIGdiv</w:t>
      </w:r>
    </w:p>
    <w:p w14:paraId="317D31FA" w14:textId="4DE4A370" w:rsidR="003B3162" w:rsidRDefault="00EA1845" w:rsidP="003B3162">
      <w:pPr>
        <w:ind w:left="708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77608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B58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WIG, a konsekwencji indeksy sektorowe oraz indeksy narodowe</w:t>
      </w:r>
    </w:p>
    <w:p w14:paraId="360CB280" w14:textId="214C21B8" w:rsidR="00443372" w:rsidRPr="00BB2EBB" w:rsidRDefault="00EA1845" w:rsidP="0044337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64596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72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443372" w:rsidRPr="00BB2EBB">
        <w:rPr>
          <w:rFonts w:ascii="Verdana" w:hAnsi="Verdana"/>
          <w:sz w:val="18"/>
          <w:szCs w:val="18"/>
        </w:rPr>
        <w:t xml:space="preserve"> nie mam zdania</w:t>
      </w:r>
    </w:p>
    <w:p w14:paraId="3DE61688" w14:textId="77777777" w:rsidR="003B3162" w:rsidRPr="00BB2EBB" w:rsidRDefault="003B3162" w:rsidP="003B3162">
      <w:pPr>
        <w:rPr>
          <w:rFonts w:ascii="Verdana" w:hAnsi="Verdana"/>
          <w:sz w:val="18"/>
          <w:szCs w:val="18"/>
        </w:rPr>
      </w:pPr>
      <w:r w:rsidRPr="00BB2EBB">
        <w:rPr>
          <w:rFonts w:ascii="Verdana" w:hAnsi="Verdana"/>
          <w:sz w:val="18"/>
          <w:szCs w:val="18"/>
        </w:rPr>
        <w:t>Komentarz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162" w:rsidRPr="00BB2EBB" w14:paraId="473A52C6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-3567342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EFB3C05" w14:textId="0E1349C8" w:rsidR="003B3162" w:rsidRPr="00BB2EBB" w:rsidRDefault="00D36503" w:rsidP="00187BF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B8C3F5E" w14:textId="77777777" w:rsidR="00A672AA" w:rsidRPr="00BB2EBB" w:rsidRDefault="00A672AA">
      <w:pPr>
        <w:rPr>
          <w:rFonts w:ascii="Verdana" w:hAnsi="Verdana"/>
          <w:sz w:val="18"/>
          <w:szCs w:val="18"/>
        </w:rPr>
      </w:pPr>
    </w:p>
    <w:sectPr w:rsidR="00A672AA" w:rsidRPr="00BB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C"/>
    <w:multiLevelType w:val="hybridMultilevel"/>
    <w:tmpl w:val="04A2F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1EA849C"/>
    <w:lvl w:ilvl="0">
      <w:start w:val="6"/>
      <w:numFmt w:val="upperRoman"/>
      <w:pStyle w:val="Nagwek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5"/>
        </w:tabs>
        <w:ind w:left="709" w:hanging="709"/>
      </w:pPr>
      <w:rPr>
        <w:rFonts w:ascii="Verdana" w:hAnsi="Verdana" w:cs="Arial" w:hint="default"/>
        <w:i w:val="0"/>
        <w:color w:val="auto"/>
        <w:sz w:val="18"/>
        <w:szCs w:val="18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269"/>
        </w:tabs>
        <w:ind w:left="1559" w:hanging="850"/>
      </w:pPr>
      <w:rPr>
        <w:rFonts w:ascii="Verdana" w:eastAsia="Times New Roman" w:hAnsi="Verdana" w:cs="Arial" w:hint="default"/>
        <w:sz w:val="18"/>
        <w:szCs w:val="18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Dento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Dento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DA223B"/>
    <w:multiLevelType w:val="hybridMultilevel"/>
    <w:tmpl w:val="093E0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D7C"/>
    <w:multiLevelType w:val="hybridMultilevel"/>
    <w:tmpl w:val="8226546C"/>
    <w:lvl w:ilvl="0" w:tplc="2A7E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21E"/>
    <w:multiLevelType w:val="hybridMultilevel"/>
    <w:tmpl w:val="CC5801BE"/>
    <w:lvl w:ilvl="0" w:tplc="EB248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6EAE"/>
    <w:multiLevelType w:val="hybridMultilevel"/>
    <w:tmpl w:val="B5EA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61WheB0BcfV/ezNRx22wmHmWI8HsPyn6bUD77f4YCilT2ELvpwJvdYVMdag2QzPzMUKgGhhnEK6sA3dh/1/8ww==" w:salt="o5LbHuKhA5w0+oSkP3Hr9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E"/>
    <w:rsid w:val="00192FAE"/>
    <w:rsid w:val="002F2B58"/>
    <w:rsid w:val="003B3162"/>
    <w:rsid w:val="00443372"/>
    <w:rsid w:val="00565DCE"/>
    <w:rsid w:val="00A672AA"/>
    <w:rsid w:val="00B23848"/>
    <w:rsid w:val="00B62208"/>
    <w:rsid w:val="00BB2EBB"/>
    <w:rsid w:val="00BD0123"/>
    <w:rsid w:val="00D36503"/>
    <w:rsid w:val="00D819D9"/>
    <w:rsid w:val="00E07ADF"/>
    <w:rsid w:val="00EA1845"/>
    <w:rsid w:val="00EF62A6"/>
    <w:rsid w:val="00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EDC"/>
  <w15:chartTrackingRefBased/>
  <w15:docId w15:val="{EA8FA6A6-6151-42A4-994B-075FB9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FAE"/>
  </w:style>
  <w:style w:type="paragraph" w:styleId="Nagwek1">
    <w:name w:val="heading 1"/>
    <w:basedOn w:val="Normalny"/>
    <w:next w:val="Tekstpodstawowy"/>
    <w:link w:val="Nagwek1Znak"/>
    <w:qFormat/>
    <w:rsid w:val="00192FAE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92FAE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Nagwek3">
    <w:name w:val="heading 3"/>
    <w:basedOn w:val="Nagwek2"/>
    <w:next w:val="Tekstpodstawowy2"/>
    <w:link w:val="Nagwek3Znak"/>
    <w:qFormat/>
    <w:rsid w:val="00192FAE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basedOn w:val="Nagwek3"/>
    <w:next w:val="Tekstpodstawowy3"/>
    <w:link w:val="Nagwek4Znak"/>
    <w:qFormat/>
    <w:rsid w:val="00192FAE"/>
    <w:pPr>
      <w:numPr>
        <w:ilvl w:val="3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FAE"/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2FAE"/>
    <w:rPr>
      <w:rFonts w:ascii="Verdana" w:eastAsia="Times New Roman" w:hAnsi="Verdana" w:cs="Arial"/>
      <w:iCs/>
      <w:kern w:val="20"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92FAE"/>
    <w:pPr>
      <w:ind w:left="720"/>
      <w:contextualSpacing/>
    </w:pPr>
  </w:style>
  <w:style w:type="table" w:styleId="Tabela-Siatka">
    <w:name w:val="Table Grid"/>
    <w:basedOn w:val="Standardowy"/>
    <w:uiPriority w:val="39"/>
    <w:rsid w:val="0019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rossreferenceDentons">
    <w:name w:val="Schedule Crossreference Dentons"/>
    <w:basedOn w:val="Normalny"/>
    <w:next w:val="Normalny"/>
    <w:qFormat/>
    <w:rsid w:val="00192FAE"/>
    <w:pPr>
      <w:pageBreakBefore/>
      <w:numPr>
        <w:ilvl w:val="8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customStyle="1" w:styleId="ScheduleNumberedDentons">
    <w:name w:val="Schedule Numbered Dentons"/>
    <w:basedOn w:val="Normalny"/>
    <w:next w:val="Normalny"/>
    <w:qFormat/>
    <w:rsid w:val="00192FAE"/>
    <w:pPr>
      <w:pageBreakBefore/>
      <w:numPr>
        <w:ilvl w:val="7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F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FA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F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FA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F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FA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2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36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F0CD7-8EB3-4A1F-821C-74B991A8BF0F}"/>
      </w:docPartPr>
      <w:docPartBody>
        <w:p w:rsidR="004B7A14" w:rsidRDefault="00A03679">
          <w:r w:rsidRPr="00A21C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9"/>
    <w:rsid w:val="004B7A14"/>
    <w:rsid w:val="00A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36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CDE6-6E1D-4BD6-9DB5-1A4EE18D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Odolińska Małgorzata</dc:creator>
  <cp:keywords/>
  <dc:description/>
  <cp:lastModifiedBy>Odolińska Małgorzata</cp:lastModifiedBy>
  <cp:revision>13</cp:revision>
  <dcterms:created xsi:type="dcterms:W3CDTF">2023-03-31T15:10:00Z</dcterms:created>
  <dcterms:modified xsi:type="dcterms:W3CDTF">2023-04-06T10:32:00Z</dcterms:modified>
</cp:coreProperties>
</file>