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B1B5B" w14:textId="33951BB0" w:rsidR="00524D84" w:rsidRPr="00363116" w:rsidRDefault="00363116" w:rsidP="00363116">
      <w:pPr>
        <w:ind w:left="7080" w:firstLine="708"/>
      </w:pPr>
      <w:r>
        <w:t xml:space="preserve">                                                                                                                                                                      </w:t>
      </w:r>
      <w:r w:rsidR="00A0114C">
        <w:t xml:space="preserve">   </w:t>
      </w:r>
      <w:r>
        <w:t>April 24,</w:t>
      </w:r>
      <w:r w:rsidRPr="005F6794">
        <w:t xml:space="preserve"> 2026</w:t>
      </w:r>
      <w:r w:rsidR="00A0114C">
        <w:t xml:space="preserve"> </w:t>
      </w:r>
    </w:p>
    <w:p w14:paraId="6FB60533" w14:textId="74E867FD" w:rsidR="000D03D4" w:rsidRPr="006709AD" w:rsidRDefault="00C16234" w:rsidP="000D03D4">
      <w:pPr>
        <w:jc w:val="center"/>
        <w:rPr>
          <w:b/>
          <w:bCs/>
          <w:sz w:val="32"/>
          <w:szCs w:val="32"/>
        </w:rPr>
      </w:pPr>
      <w:r>
        <w:rPr>
          <w:b/>
          <w:bCs/>
          <w:sz w:val="32"/>
          <w:szCs w:val="32"/>
        </w:rPr>
        <w:t>Consultation d</w:t>
      </w:r>
      <w:r w:rsidR="000D03D4" w:rsidRPr="006709AD">
        <w:rPr>
          <w:b/>
          <w:bCs/>
          <w:sz w:val="32"/>
          <w:szCs w:val="32"/>
        </w:rPr>
        <w:t>o</w:t>
      </w:r>
      <w:r>
        <w:rPr>
          <w:b/>
          <w:bCs/>
          <w:sz w:val="32"/>
          <w:szCs w:val="32"/>
        </w:rPr>
        <w:t>cument on changes to the fast track rules</w:t>
      </w:r>
    </w:p>
    <w:p w14:paraId="5308EAC9" w14:textId="77777777" w:rsidR="000D03D4" w:rsidRPr="006709AD" w:rsidRDefault="000D03D4" w:rsidP="0083496F">
      <w:pPr>
        <w:jc w:val="both"/>
      </w:pPr>
    </w:p>
    <w:p w14:paraId="348111BB" w14:textId="0FE11259" w:rsidR="006709AD" w:rsidRPr="006709AD" w:rsidRDefault="006709AD" w:rsidP="0083496F">
      <w:pPr>
        <w:jc w:val="both"/>
      </w:pPr>
      <w:r w:rsidRPr="00920CFA">
        <w:t xml:space="preserve">GPW Benchmark S.A. (hereinafter: „Administrator”) conducts public consultations regarding change of the method of the development of Stock </w:t>
      </w:r>
      <w:r w:rsidR="00C16234">
        <w:t>Exchange</w:t>
      </w:r>
      <w:r w:rsidRPr="00920CFA">
        <w:t xml:space="preserve"> Indices regarding the rules for conducting </w:t>
      </w:r>
      <w:r w:rsidR="00B61696" w:rsidRPr="00920CFA">
        <w:t>an</w:t>
      </w:r>
      <w:r w:rsidRPr="00920CFA">
        <w:t xml:space="preserve"> extraordinary correction of the list of Members of the Market Indices regarding introduction of the new company after initial public offering on the </w:t>
      </w:r>
      <w:r w:rsidR="009D25C3" w:rsidRPr="00920CFA">
        <w:t xml:space="preserve">GPW </w:t>
      </w:r>
      <w:r w:rsidRPr="00920CFA">
        <w:t xml:space="preserve">Main Market or in </w:t>
      </w:r>
      <w:r w:rsidR="009D25C3">
        <w:t xml:space="preserve">Alternative </w:t>
      </w:r>
      <w:r w:rsidR="00B61696">
        <w:t xml:space="preserve">Trading </w:t>
      </w:r>
      <w:r w:rsidR="009D25C3">
        <w:t>System</w:t>
      </w:r>
      <w:r w:rsidRPr="00920CFA">
        <w:t xml:space="preserve">, in particular in indices WIG20, mWIG40, sWIG80 and WIG30 and WIG30 regarding so-called fast track, referred to in points 5.5.20, 5.4.18, 5.6.18 and 5.8.20 Rules </w:t>
      </w:r>
      <w:r w:rsidR="009D25C3">
        <w:t>of the GPW Indices Family</w:t>
      </w:r>
      <w:r w:rsidRPr="00920CFA">
        <w:t xml:space="preserve"> (hereinafter: „Rules”).</w:t>
      </w:r>
    </w:p>
    <w:p w14:paraId="128F3D58" w14:textId="56894B22" w:rsidR="006709AD" w:rsidRDefault="006709AD" w:rsidP="0083496F">
      <w:pPr>
        <w:jc w:val="both"/>
      </w:pPr>
      <w:r>
        <w:t xml:space="preserve">The rules for eligibility and inclusion on the list of </w:t>
      </w:r>
      <w:r w:rsidR="009D25C3">
        <w:t xml:space="preserve">Participants </w:t>
      </w:r>
      <w:r>
        <w:t>in a given Index for a</w:t>
      </w:r>
      <w:r w:rsidR="00FA0512">
        <w:t> </w:t>
      </w:r>
      <w:permStart w:id="1478770130" w:edGrp="everyone"/>
      <w:permEnd w:id="1478770130"/>
      <w:r>
        <w:t>Company newly</w:t>
      </w:r>
      <w:r w:rsidR="00A306D4">
        <w:t xml:space="preserve"> added to Trading on the Stock Exchange, including the rules for the so-called “fast track”, are based on criteria relating to shares, both in terms of price and the number of shares in free float determined on the basis of shares registered in the KRS (National Court Register).</w:t>
      </w:r>
    </w:p>
    <w:p w14:paraId="16274723" w14:textId="10929919" w:rsidR="00A306D4" w:rsidRDefault="00A306D4" w:rsidP="0083496F">
      <w:pPr>
        <w:jc w:val="both"/>
      </w:pPr>
      <w:r>
        <w:t xml:space="preserve">The above wording, </w:t>
      </w:r>
      <w:r w:rsidR="009D25C3">
        <w:t>representing</w:t>
      </w:r>
      <w:r>
        <w:t xml:space="preserve"> established market practic</w:t>
      </w:r>
      <w:r w:rsidR="00DA60FC">
        <w:t>e</w:t>
      </w:r>
      <w:r>
        <w:t xml:space="preserve">s, taking into consideration the decision of the </w:t>
      </w:r>
      <w:r w:rsidR="008E57C6">
        <w:t>Oversight</w:t>
      </w:r>
      <w:r>
        <w:t xml:space="preserve"> Committee (hereinafter: “KN WRK”), is the subject</w:t>
      </w:r>
      <w:r w:rsidR="00B963B1">
        <w:t xml:space="preserve"> of public consultations regarding the identification of situations in which a company’s admission to trading is based exclusively on rights to shares (hereinafter: “PDA”).</w:t>
      </w:r>
    </w:p>
    <w:p w14:paraId="4D254E54" w14:textId="4A6D664B" w:rsidR="00B963B1" w:rsidRDefault="00B963B1" w:rsidP="0083496F">
      <w:pPr>
        <w:jc w:val="both"/>
      </w:pPr>
      <w:r>
        <w:t>A PDA is a security that entitles its holder to receive shares of a new issue</w:t>
      </w:r>
      <w:r w:rsidR="001F1ABA">
        <w:t xml:space="preserve"> of a public company before those shares are formally registered. A PDA is temporary in </w:t>
      </w:r>
      <w:r w:rsidR="006B049C">
        <w:t xml:space="preserve">its </w:t>
      </w:r>
      <w:r w:rsidR="001F1ABA">
        <w:t xml:space="preserve">nature – after registration in KRS, it </w:t>
      </w:r>
      <w:r w:rsidR="006B049C">
        <w:t xml:space="preserve">automatically converts into shares. A PDA cannot constitute the basis for qualifying a company as an Index </w:t>
      </w:r>
      <w:r w:rsidR="008E57C6">
        <w:t>Participant</w:t>
      </w:r>
      <w:r w:rsidR="006B049C">
        <w:t xml:space="preserve">, as provided in the Rules, the quantitative eligibility criteria apply to shares (in accordance with the definition of, for example, </w:t>
      </w:r>
      <w:r w:rsidR="008E57C6">
        <w:t>Weighting</w:t>
      </w:r>
      <w:r w:rsidR="006B049C">
        <w:t xml:space="preserve"> or </w:t>
      </w:r>
      <w:r w:rsidR="008E57C6" w:rsidRPr="008E57C6">
        <w:t xml:space="preserve">Adjusted Market </w:t>
      </w:r>
      <w:r w:rsidR="00643167">
        <w:t>C</w:t>
      </w:r>
      <w:r w:rsidR="00643167" w:rsidRPr="008E57C6">
        <w:t>apitalization</w:t>
      </w:r>
      <w:r w:rsidR="006B049C">
        <w:t xml:space="preserve">), regardless of the fact that PDAs may be traded on the stock exchange in accordance with the Act of July 29, 2005, on Trading Financial Instruments, as amended. </w:t>
      </w:r>
    </w:p>
    <w:p w14:paraId="05F84CE8" w14:textId="51649066" w:rsidR="006B049C" w:rsidRDefault="006B049C" w:rsidP="0083496F">
      <w:pPr>
        <w:jc w:val="both"/>
      </w:pPr>
      <w:r>
        <w:t>At the same time, the Rules refer to</w:t>
      </w:r>
      <w:r w:rsidR="003C18F6">
        <w:t xml:space="preserve"> concept of a </w:t>
      </w:r>
      <w:r w:rsidR="00C16234">
        <w:t>debut</w:t>
      </w:r>
      <w:r w:rsidR="003C18F6">
        <w:t xml:space="preserve"> as the Company’s initial listing on the Stock Exchange. This means that in the event of the Company’s initial listing on the Stock Exchange based on a PDA, it is not possible to carry out an extraordinary adjustment to the list of Participants in a given Index, including, in particular, via the so-called fast track</w:t>
      </w:r>
      <w:r w:rsidR="008E57C6">
        <w:t xml:space="preserve"> procedure</w:t>
      </w:r>
      <w:r w:rsidR="003C18F6">
        <w:t>.</w:t>
      </w:r>
    </w:p>
    <w:p w14:paraId="0E6C7FA7" w14:textId="50DE5D98" w:rsidR="003C18F6" w:rsidRDefault="003C18F6" w:rsidP="0083496F">
      <w:pPr>
        <w:jc w:val="both"/>
      </w:pPr>
      <w:r>
        <w:t xml:space="preserve">Bearing in mind the above conditions, the Administrator is reviewing the positions of Index Users and stakeholders regarding the introduction of a provision in the Rules allowing for the qualification of a company after its debut, including under the so-called fast track for Companies listed via PDA, where the Company’s debut for the purposes of Stock </w:t>
      </w:r>
      <w:r>
        <w:lastRenderedPageBreak/>
        <w:t>Exchange Indices will be identified in accordance with the date of Company’s shares being admitted to trading following their registration by the Court in KRS (understood as the conversion of PDA into shares).</w:t>
      </w:r>
    </w:p>
    <w:p w14:paraId="649F21DA" w14:textId="78149B3C" w:rsidR="001F7A12" w:rsidRDefault="003C18F6" w:rsidP="0083496F">
      <w:pPr>
        <w:jc w:val="both"/>
      </w:pPr>
      <w:r>
        <w:t>At the same time, the Administrator a</w:t>
      </w:r>
      <w:r w:rsidR="004F3806">
        <w:t>cknowledges the distinct nature of the circumstances surrounding and extraordinary adjustment involving the inclusion of a</w:t>
      </w:r>
      <w:r w:rsidR="00FA0512">
        <w:t> </w:t>
      </w:r>
      <w:r w:rsidR="004F3806">
        <w:t xml:space="preserve">Company in </w:t>
      </w:r>
      <w:r w:rsidR="004C29E9">
        <w:t>the GPW</w:t>
      </w:r>
      <w:r w:rsidR="004F3806">
        <w:t xml:space="preserve"> </w:t>
      </w:r>
      <w:r w:rsidR="004C29E9">
        <w:t>I</w:t>
      </w:r>
      <w:r w:rsidR="004F3806">
        <w:t xml:space="preserve">ndex, including, in particular, under the so-called “fast track” </w:t>
      </w:r>
      <w:r w:rsidR="004C29E9">
        <w:t xml:space="preserve">procedure, </w:t>
      </w:r>
      <w:r w:rsidR="004F3806">
        <w:t>for entities admitted to trading on the basis of shares for which the first trading day serves as the basis for qualification, and an entity whose rights to shares remain in trading and allow for monitoring of the Company’s market situation based on PDA. In the event of a change to the aforementioned rules, the Administrator considers it reasonable to include in the qualification process information from the period of PDA trading, and not only from the date of the share’s introduction to trading, which limits the risk of  attempts to exert unauthorized influence. Including information on the valuation status of the Company from</w:t>
      </w:r>
      <w:r w:rsidR="001F7A12">
        <w:t xml:space="preserve"> period </w:t>
      </w:r>
      <w:r w:rsidR="004C29E9">
        <w:t xml:space="preserve">covering </w:t>
      </w:r>
      <w:r w:rsidR="001F7A12">
        <w:t>few days</w:t>
      </w:r>
      <w:r w:rsidR="004F3806">
        <w:t xml:space="preserve"> </w:t>
      </w:r>
      <w:r w:rsidR="004C29E9">
        <w:t xml:space="preserve">of trading </w:t>
      </w:r>
      <w:r w:rsidR="004F3806">
        <w:t>aligns with the market practices of certain other entities that develop benchmark indices.</w:t>
      </w:r>
    </w:p>
    <w:p w14:paraId="2C93B73C" w14:textId="6AE0A147" w:rsidR="004F3806" w:rsidRDefault="001F7A12" w:rsidP="0083496F">
      <w:pPr>
        <w:jc w:val="both"/>
      </w:pPr>
      <w:r>
        <w:t xml:space="preserve">The Administrator analyzed the stock prices performance of companies making their market debut via </w:t>
      </w:r>
      <w:r w:rsidR="004C29E9">
        <w:t>PDA</w:t>
      </w:r>
      <w:r>
        <w:t xml:space="preserve">, and in most cases, no significant change in the company’s valuation was observed following the conversion </w:t>
      </w:r>
      <w:r w:rsidR="004C29E9">
        <w:t>from</w:t>
      </w:r>
      <w:r w:rsidR="00DA60FC">
        <w:t xml:space="preserve"> </w:t>
      </w:r>
      <w:r w:rsidR="004C29E9">
        <w:t xml:space="preserve">PDA </w:t>
      </w:r>
      <w:r>
        <w:t>into shares. Changes were observed only in exceptional cases. It is worth noting that the cases analyzed concerned companies in period 2001-2021; no such cases were recorded after that period.</w:t>
      </w:r>
    </w:p>
    <w:p w14:paraId="69E40159" w14:textId="77777777" w:rsidR="00FA0512" w:rsidRDefault="00FA0512" w:rsidP="0083496F">
      <w:pPr>
        <w:jc w:val="both"/>
      </w:pPr>
    </w:p>
    <w:p w14:paraId="1C26D062" w14:textId="58A1799E" w:rsidR="00E85612" w:rsidRDefault="00920CFA" w:rsidP="0083496F">
      <w:pPr>
        <w:jc w:val="both"/>
      </w:pPr>
      <w:r>
        <w:t>With regard to the procedural classification of the changes being implemented, the Administrator notes that, a</w:t>
      </w:r>
      <w:r w:rsidR="004F3806">
        <w:t>lthough the proposed change to the method concerns a</w:t>
      </w:r>
      <w:r w:rsidR="00FA0512">
        <w:t> </w:t>
      </w:r>
      <w:r w:rsidR="004F3806">
        <w:t xml:space="preserve">change in the </w:t>
      </w:r>
      <w:r w:rsidR="00C16234">
        <w:t>method</w:t>
      </w:r>
      <w:r w:rsidR="004F3806">
        <w:t xml:space="preserve"> for qualifying companies for </w:t>
      </w:r>
      <w:r w:rsidR="004C29E9">
        <w:t xml:space="preserve">GPW </w:t>
      </w:r>
      <w:r w:rsidR="004F3806">
        <w:t>Indice</w:t>
      </w:r>
      <w:r w:rsidR="00D879C4">
        <w:t>s</w:t>
      </w:r>
      <w:r w:rsidR="004F3806">
        <w:t>, it does not meet the formal criteria for a material change in the method, due to the inability to conduct a</w:t>
      </w:r>
      <w:r w:rsidR="00FA0512">
        <w:t> </w:t>
      </w:r>
      <w:r w:rsidR="004F3806">
        <w:t>realistic co</w:t>
      </w:r>
      <w:r w:rsidR="00D879C4">
        <w:t xml:space="preserve">unterfactual test allowing to assess its impact on the historical </w:t>
      </w:r>
      <w:r w:rsidR="004C29E9">
        <w:t xml:space="preserve">index  </w:t>
      </w:r>
      <w:r w:rsidR="00D879C4">
        <w:t>performance</w:t>
      </w:r>
      <w:r w:rsidR="004C29E9">
        <w:t>.</w:t>
      </w:r>
    </w:p>
    <w:p w14:paraId="7EE00A31" w14:textId="6311DF18" w:rsidR="004F3806" w:rsidRPr="006709AD" w:rsidRDefault="00D879C4" w:rsidP="0083496F">
      <w:pPr>
        <w:jc w:val="both"/>
      </w:pPr>
      <w:r>
        <w:t>Given the significan</w:t>
      </w:r>
      <w:r w:rsidR="00E85612">
        <w:t xml:space="preserve">t impact that the Administrator has noted the amendment to the Rules will have on the Index portfolio, the KN WRK recommended </w:t>
      </w:r>
      <w:r w:rsidR="004C29E9">
        <w:t>conducting</w:t>
      </w:r>
      <w:r w:rsidR="00E85612">
        <w:t xml:space="preserve"> public consultation.</w:t>
      </w:r>
    </w:p>
    <w:p w14:paraId="7A939E0A" w14:textId="3F81604A" w:rsidR="00524D84" w:rsidRPr="006709AD" w:rsidRDefault="00E85612" w:rsidP="0083496F">
      <w:pPr>
        <w:jc w:val="both"/>
      </w:pPr>
      <w:r w:rsidRPr="00E85612">
        <w:rPr>
          <w:b/>
          <w:bCs/>
        </w:rPr>
        <w:t xml:space="preserve">The public consultation </w:t>
      </w:r>
      <w:r w:rsidR="004C29E9">
        <w:rPr>
          <w:b/>
          <w:bCs/>
        </w:rPr>
        <w:t xml:space="preserve">period </w:t>
      </w:r>
      <w:r w:rsidRPr="00E85612">
        <w:rPr>
          <w:b/>
          <w:bCs/>
        </w:rPr>
        <w:t xml:space="preserve">begins on April 24, 2026 and </w:t>
      </w:r>
      <w:r w:rsidR="004C29E9">
        <w:rPr>
          <w:b/>
          <w:bCs/>
        </w:rPr>
        <w:t>ends</w:t>
      </w:r>
      <w:r w:rsidRPr="00E85612">
        <w:rPr>
          <w:b/>
          <w:bCs/>
        </w:rPr>
        <w:t xml:space="preserve"> on May 4, 2026</w:t>
      </w:r>
      <w:r>
        <w:t xml:space="preserve">. Responses submitted after the specified deadline will not be considered. If a decision is made to implement this change to the method in question, the amendments to the </w:t>
      </w:r>
      <w:r w:rsidR="00C16234">
        <w:t>Rules</w:t>
      </w:r>
      <w:r>
        <w:t xml:space="preserve"> will take effect on the date specified, in the notice of amendment, but </w:t>
      </w:r>
      <w:r w:rsidR="00491801">
        <w:t xml:space="preserve">not </w:t>
      </w:r>
      <w:r>
        <w:t xml:space="preserve">earlier than 30 days after the amended </w:t>
      </w:r>
      <w:r w:rsidR="00C16234">
        <w:t>Rules</w:t>
      </w:r>
      <w:r>
        <w:t xml:space="preserve"> are made available on the Administrator’s website.</w:t>
      </w:r>
    </w:p>
    <w:p w14:paraId="25A3F885" w14:textId="77777777" w:rsidR="00FA0512" w:rsidRDefault="00FA0512" w:rsidP="0083496F">
      <w:pPr>
        <w:jc w:val="both"/>
        <w:rPr>
          <w:b/>
          <w:bCs/>
        </w:rPr>
      </w:pPr>
    </w:p>
    <w:p w14:paraId="7ED9072B" w14:textId="059AFB36" w:rsidR="00E85612" w:rsidRDefault="00E85612" w:rsidP="0083496F">
      <w:pPr>
        <w:jc w:val="both"/>
      </w:pPr>
      <w:r w:rsidRPr="005C6B29">
        <w:rPr>
          <w:b/>
          <w:bCs/>
        </w:rPr>
        <w:lastRenderedPageBreak/>
        <w:t>Questionnaire</w:t>
      </w:r>
      <w:r>
        <w:t>:</w:t>
      </w:r>
      <w:r>
        <w:br/>
        <w:t xml:space="preserve">In response to the proposal by GPW Benchmark S.A. to introduce into the Rules of the </w:t>
      </w:r>
      <w:r w:rsidR="00491801">
        <w:t xml:space="preserve">GPW Indices </w:t>
      </w:r>
      <w:r>
        <w:t>Family a provision regarding an extraord</w:t>
      </w:r>
      <w:r w:rsidR="006563D9">
        <w:t xml:space="preserve">inary adjustment of the list of </w:t>
      </w:r>
      <w:r w:rsidR="00491801">
        <w:t>GPW</w:t>
      </w:r>
      <w:r w:rsidR="006563D9">
        <w:t xml:space="preserve"> Index </w:t>
      </w:r>
      <w:r w:rsidR="00491801">
        <w:t>Participants</w:t>
      </w:r>
      <w:r w:rsidR="006563D9">
        <w:t>, as follows:</w:t>
      </w:r>
    </w:p>
    <w:p w14:paraId="16AE1F11" w14:textId="2AD67A63" w:rsidR="006563D9" w:rsidRPr="006563D9" w:rsidRDefault="006563D9" w:rsidP="0083496F">
      <w:pPr>
        <w:jc w:val="both"/>
        <w:rPr>
          <w:i/>
          <w:iCs/>
        </w:rPr>
      </w:pPr>
      <w:r w:rsidRPr="006563D9">
        <w:rPr>
          <w:i/>
          <w:iCs/>
        </w:rPr>
        <w:t>Proposed wording:</w:t>
      </w:r>
    </w:p>
    <w:p w14:paraId="2A49EF71" w14:textId="16207B9B" w:rsidR="001A4891" w:rsidRDefault="006563D9" w:rsidP="0083496F">
      <w:pPr>
        <w:jc w:val="both"/>
      </w:pPr>
      <w:r>
        <w:t xml:space="preserve">“An extraordinary adjustment of the list of Index </w:t>
      </w:r>
      <w:r w:rsidR="00491801">
        <w:t xml:space="preserve">Participants </w:t>
      </w:r>
      <w:r>
        <w:t>may be carried out with respect to a Company admitted to Trading exclusively through Rights</w:t>
      </w:r>
      <w:r w:rsidR="00491801">
        <w:t xml:space="preserve"> to Shares</w:t>
      </w:r>
      <w:r>
        <w:t>, after the expiration of 7 Trading Sessions from the date of admission to trading of the Shares resulting from such Rights</w:t>
      </w:r>
      <w:r w:rsidR="00491801">
        <w:t xml:space="preserve"> to Shares</w:t>
      </w:r>
      <w:r>
        <w:t xml:space="preserve">, the Company’s qualification for specific </w:t>
      </w:r>
      <w:r w:rsidR="00491801">
        <w:t>GPW</w:t>
      </w:r>
      <w:r>
        <w:t xml:space="preserve"> Indices shall be carried out in accordance with extraordinary adjustment rules of the relevant Index, provided that wherever the qualification criterion is the Closing Price of the shares, this shall be understood </w:t>
      </w:r>
      <w:r w:rsidR="00491801">
        <w:t>as</w:t>
      </w:r>
      <w:r>
        <w:t xml:space="preserve"> the average determined by the formula:</w:t>
      </w:r>
    </w:p>
    <w:p w14:paraId="3543C2B9" w14:textId="77777777" w:rsidR="005C6B29" w:rsidRPr="006709AD" w:rsidRDefault="005C6B29" w:rsidP="0083496F">
      <w:pPr>
        <w:jc w:val="both"/>
      </w:pPr>
    </w:p>
    <w:p w14:paraId="485AA58A" w14:textId="011BDA44" w:rsidR="00147B42" w:rsidRPr="006709AD" w:rsidRDefault="005C6B29" w:rsidP="0083496F">
      <w:pPr>
        <w:jc w:val="both"/>
        <w:rPr>
          <w:rFonts w:eastAsiaTheme="minorEastAsia"/>
        </w:rPr>
      </w:pPr>
      <m:oMath>
        <m:r>
          <w:rPr>
            <w:rFonts w:ascii="Cambria Math" w:hAnsi="Cambria Math"/>
          </w:rPr>
          <m:t>Closing Price=0,5*</m:t>
        </m:r>
        <m:sSub>
          <m:sSubPr>
            <m:ctrlPr>
              <w:rPr>
                <w:rFonts w:ascii="Cambria Math" w:hAnsi="Cambria Math"/>
                <w:i/>
              </w:rPr>
            </m:ctrlPr>
          </m:sSubPr>
          <m:e>
            <m:r>
              <w:rPr>
                <w:rFonts w:ascii="Cambria Math" w:hAnsi="Cambria Math"/>
              </w:rPr>
              <m:t>K</m:t>
            </m:r>
          </m:e>
          <m:sub>
            <m:r>
              <w:rPr>
                <w:rFonts w:ascii="Cambria Math" w:hAnsi="Cambria Math"/>
              </w:rPr>
              <m:t>a</m:t>
            </m:r>
          </m:sub>
        </m:sSub>
        <m:r>
          <w:rPr>
            <w:rFonts w:ascii="Cambria Math" w:hAnsi="Cambria Math"/>
          </w:rPr>
          <m:t xml:space="preserve">+0,5* </m:t>
        </m:r>
        <m:sSub>
          <m:sSubPr>
            <m:ctrlPr>
              <w:rPr>
                <w:rFonts w:ascii="Cambria Math" w:hAnsi="Cambria Math"/>
                <w:i/>
              </w:rPr>
            </m:ctrlPr>
          </m:sSubPr>
          <m:e>
            <m:r>
              <w:rPr>
                <w:rFonts w:ascii="Cambria Math" w:hAnsi="Cambria Math"/>
              </w:rPr>
              <m:t>K</m:t>
            </m:r>
          </m:e>
          <m:sub>
            <m:r>
              <w:rPr>
                <w:rFonts w:ascii="Cambria Math" w:hAnsi="Cambria Math"/>
              </w:rPr>
              <m:t>pda</m:t>
            </m:r>
          </m:sub>
        </m:sSub>
      </m:oMath>
      <w:r w:rsidR="00526B04" w:rsidRPr="006709AD">
        <w:rPr>
          <w:rFonts w:eastAsiaTheme="minorEastAsia"/>
        </w:rPr>
        <w:t xml:space="preserve">                </w:t>
      </w:r>
    </w:p>
    <w:p w14:paraId="40794EBC" w14:textId="28B1A4B3" w:rsidR="00526B04" w:rsidRPr="006709AD" w:rsidRDefault="005C6B29" w:rsidP="0083496F">
      <w:pPr>
        <w:jc w:val="both"/>
        <w:rPr>
          <w:rFonts w:eastAsiaTheme="minorEastAsia"/>
        </w:rPr>
      </w:pPr>
      <w:r>
        <w:rPr>
          <w:rFonts w:eastAsiaTheme="minorEastAsia"/>
        </w:rPr>
        <w:t>where</w:t>
      </w:r>
      <w:r w:rsidR="00684F40" w:rsidRPr="006709AD">
        <w:rPr>
          <w:rFonts w:eastAsiaTheme="minorEastAsia"/>
        </w:rPr>
        <w:t>:</w:t>
      </w:r>
    </w:p>
    <w:p w14:paraId="094C7DD8" w14:textId="69BB1B64" w:rsidR="006563D9" w:rsidRPr="005C6B29" w:rsidRDefault="00526B04" w:rsidP="0083496F">
      <w:pPr>
        <w:jc w:val="both"/>
        <w:rPr>
          <w:rFonts w:eastAsiaTheme="minorEastAsia"/>
        </w:rPr>
      </w:pPr>
      <w:r w:rsidRPr="006709AD">
        <w:rPr>
          <w:rFonts w:eastAsiaTheme="minorEastAsia"/>
        </w:rPr>
        <w:t>K</w:t>
      </w:r>
      <w:r w:rsidRPr="006709AD">
        <w:rPr>
          <w:rFonts w:eastAsiaTheme="minorEastAsia"/>
          <w:vertAlign w:val="subscript"/>
        </w:rPr>
        <w:t>a</w:t>
      </w:r>
      <w:r w:rsidR="00473DF2" w:rsidRPr="006709AD">
        <w:rPr>
          <w:rFonts w:eastAsiaTheme="minorEastAsia"/>
        </w:rPr>
        <w:t xml:space="preserve"> </w:t>
      </w:r>
      <w:r w:rsidR="00234B50" w:rsidRPr="006709AD">
        <w:rPr>
          <w:rFonts w:eastAsiaTheme="minorEastAsia"/>
        </w:rPr>
        <w:t>–</w:t>
      </w:r>
      <w:r w:rsidR="00473DF2" w:rsidRPr="006709AD">
        <w:rPr>
          <w:rFonts w:eastAsiaTheme="minorEastAsia"/>
        </w:rPr>
        <w:t xml:space="preserve"> </w:t>
      </w:r>
      <w:r w:rsidR="005C6B29">
        <w:rPr>
          <w:rFonts w:eastAsiaTheme="minorEastAsia"/>
        </w:rPr>
        <w:t>C</w:t>
      </w:r>
      <w:r w:rsidR="006563D9">
        <w:rPr>
          <w:rFonts w:eastAsiaTheme="minorEastAsia"/>
        </w:rPr>
        <w:t>losing Price in the day of initial listing of shares on a given Company</w:t>
      </w:r>
    </w:p>
    <w:p w14:paraId="647A0C58" w14:textId="5C76E558" w:rsidR="006563D9" w:rsidRPr="005C6B29" w:rsidRDefault="00473DF2" w:rsidP="00473DF2">
      <w:pPr>
        <w:jc w:val="both"/>
        <w:rPr>
          <w:rFonts w:eastAsiaTheme="minorEastAsia"/>
        </w:rPr>
      </w:pPr>
      <w:proofErr w:type="spellStart"/>
      <w:r w:rsidRPr="006709AD">
        <w:rPr>
          <w:rFonts w:eastAsiaTheme="minorEastAsia"/>
        </w:rPr>
        <w:t>K</w:t>
      </w:r>
      <w:r w:rsidRPr="006709AD">
        <w:rPr>
          <w:rFonts w:eastAsiaTheme="minorEastAsia"/>
          <w:vertAlign w:val="subscript"/>
        </w:rPr>
        <w:t>p</w:t>
      </w:r>
      <w:r w:rsidR="004D060B" w:rsidRPr="006709AD">
        <w:rPr>
          <w:rFonts w:eastAsiaTheme="minorEastAsia"/>
          <w:vertAlign w:val="subscript"/>
        </w:rPr>
        <w:t>da</w:t>
      </w:r>
      <w:proofErr w:type="spellEnd"/>
      <w:r w:rsidR="00F9692B" w:rsidRPr="006709AD">
        <w:rPr>
          <w:rFonts w:eastAsiaTheme="minorEastAsia"/>
        </w:rPr>
        <w:t xml:space="preserve"> – </w:t>
      </w:r>
      <w:r w:rsidR="00491801">
        <w:rPr>
          <w:rFonts w:eastAsiaTheme="minorEastAsia"/>
        </w:rPr>
        <w:t xml:space="preserve">average closing price </w:t>
      </w:r>
      <w:r w:rsidR="006563D9">
        <w:rPr>
          <w:rFonts w:eastAsiaTheme="minorEastAsia"/>
        </w:rPr>
        <w:t>in the period of PDA’s listing.</w:t>
      </w:r>
    </w:p>
    <w:p w14:paraId="504C2F8F" w14:textId="77777777" w:rsidR="00020F29" w:rsidRPr="006709AD" w:rsidRDefault="00020F29" w:rsidP="0083496F">
      <w:pPr>
        <w:jc w:val="both"/>
      </w:pPr>
    </w:p>
    <w:p w14:paraId="127BCA51" w14:textId="5C0E2F94" w:rsidR="00545A58" w:rsidRPr="006709AD" w:rsidRDefault="004A26A2" w:rsidP="0083496F">
      <w:pPr>
        <w:jc w:val="both"/>
      </w:pPr>
      <w:r>
        <w:tab/>
      </w:r>
    </w:p>
    <w:p w14:paraId="7BE5292B" w14:textId="25E63D47" w:rsidR="006563D9" w:rsidRPr="006709AD" w:rsidRDefault="004A26A2" w:rsidP="0083496F">
      <w:pPr>
        <w:jc w:val="both"/>
      </w:pPr>
      <w:sdt>
        <w:sdtPr>
          <w:rPr>
            <w:rFonts w:ascii="Verdana" w:eastAsia="Calibri" w:hAnsi="Verdana" w:cs="Times New Roman"/>
            <w:b/>
            <w:bCs/>
            <w:kern w:val="0"/>
            <w:sz w:val="18"/>
            <w:szCs w:val="18"/>
            <w14:ligatures w14:val="none"/>
          </w:rPr>
          <w:id w:val="-800465408"/>
          <w14:checkbox>
            <w14:checked w14:val="0"/>
            <w14:checkedState w14:val="2612" w14:font="MS Gothic"/>
            <w14:uncheckedState w14:val="2610" w14:font="MS Gothic"/>
          </w14:checkbox>
        </w:sdtPr>
        <w:sdtEndPr/>
        <w:sdtContent>
          <w:permStart w:id="1884955459" w:edGrp="everyone"/>
          <w:r w:rsidR="00DA25BF" w:rsidRPr="006709AD">
            <w:rPr>
              <w:rFonts w:ascii="Verdana" w:eastAsia="Calibri" w:hAnsi="Verdana" w:cs="Times New Roman" w:hint="eastAsia"/>
              <w:b/>
              <w:bCs/>
              <w:kern w:val="0"/>
              <w:sz w:val="18"/>
              <w:szCs w:val="18"/>
              <w14:ligatures w14:val="none"/>
            </w:rPr>
            <w:t>☐</w:t>
          </w:r>
          <w:permEnd w:id="1884955459"/>
        </w:sdtContent>
      </w:sdt>
      <w:r w:rsidR="00DA25BF" w:rsidRPr="006709AD">
        <w:rPr>
          <w:rFonts w:ascii="Verdana" w:eastAsia="Calibri" w:hAnsi="Verdana" w:cs="Times New Roman"/>
          <w:b/>
          <w:bCs/>
          <w:kern w:val="0"/>
          <w:sz w:val="18"/>
          <w:szCs w:val="18"/>
          <w14:ligatures w14:val="none"/>
        </w:rPr>
        <w:t xml:space="preserve"> </w:t>
      </w:r>
      <w:r w:rsidR="00FE192F" w:rsidRPr="006709AD">
        <w:t xml:space="preserve">a. </w:t>
      </w:r>
      <w:r w:rsidR="006563D9">
        <w:t>I approve of this wording</w:t>
      </w:r>
    </w:p>
    <w:p w14:paraId="585246FD" w14:textId="2A9259FF" w:rsidR="00C95CE3" w:rsidRDefault="004A26A2" w:rsidP="0083496F">
      <w:pPr>
        <w:jc w:val="both"/>
      </w:pPr>
      <w:sdt>
        <w:sdtPr>
          <w:rPr>
            <w:rFonts w:ascii="Verdana" w:eastAsia="Calibri" w:hAnsi="Verdana" w:cs="Times New Roman"/>
            <w:b/>
            <w:bCs/>
            <w:kern w:val="0"/>
            <w:sz w:val="18"/>
            <w:szCs w:val="18"/>
            <w14:ligatures w14:val="none"/>
          </w:rPr>
          <w:id w:val="-521856633"/>
          <w14:checkbox>
            <w14:checked w14:val="0"/>
            <w14:checkedState w14:val="2612" w14:font="MS Gothic"/>
            <w14:uncheckedState w14:val="2610" w14:font="MS Gothic"/>
          </w14:checkbox>
        </w:sdtPr>
        <w:sdtEndPr/>
        <w:sdtContent>
          <w:permStart w:id="839265233" w:edGrp="everyone"/>
          <w:r w:rsidR="00DA25BF" w:rsidRPr="006709AD">
            <w:rPr>
              <w:rFonts w:ascii="Verdana" w:eastAsia="Calibri" w:hAnsi="Verdana" w:cs="Times New Roman" w:hint="eastAsia"/>
              <w:b/>
              <w:bCs/>
              <w:kern w:val="0"/>
              <w:sz w:val="18"/>
              <w:szCs w:val="18"/>
              <w14:ligatures w14:val="none"/>
            </w:rPr>
            <w:t>☐</w:t>
          </w:r>
          <w:permEnd w:id="839265233"/>
        </w:sdtContent>
      </w:sdt>
      <w:r w:rsidR="00DA25BF" w:rsidRPr="006709AD">
        <w:rPr>
          <w:rFonts w:ascii="Verdana" w:eastAsia="Calibri" w:hAnsi="Verdana" w:cs="Times New Roman"/>
          <w:b/>
          <w:bCs/>
          <w:kern w:val="0"/>
          <w:sz w:val="18"/>
          <w:szCs w:val="18"/>
          <w14:ligatures w14:val="none"/>
        </w:rPr>
        <w:t xml:space="preserve"> </w:t>
      </w:r>
      <w:r w:rsidR="00FE192F" w:rsidRPr="006709AD">
        <w:t xml:space="preserve">b. </w:t>
      </w:r>
      <w:r w:rsidR="006563D9">
        <w:t>I do not approve of this wording</w:t>
      </w:r>
    </w:p>
    <w:p w14:paraId="6A876683" w14:textId="77777777" w:rsidR="005C6B29" w:rsidRDefault="005C6B29" w:rsidP="0083496F">
      <w:pPr>
        <w:jc w:val="both"/>
      </w:pPr>
    </w:p>
    <w:p w14:paraId="5790F060" w14:textId="6AB78772" w:rsidR="00C95CE3" w:rsidRPr="00C16234" w:rsidRDefault="005C6B29" w:rsidP="0083496F">
      <w:pPr>
        <w:jc w:val="both"/>
        <w:rPr>
          <w:b/>
          <w:bCs/>
        </w:rPr>
      </w:pPr>
      <w:r>
        <w:rPr>
          <w:b/>
          <w:bCs/>
        </w:rPr>
        <w:t>Comments</w:t>
      </w:r>
      <w:r w:rsidR="00C95CE3" w:rsidRPr="00C16234">
        <w:rPr>
          <w:b/>
          <w:bCs/>
        </w:rPr>
        <w:t>:</w:t>
      </w:r>
    </w:p>
    <w:p w14:paraId="7E85277D" w14:textId="77777777" w:rsidR="00DA25BF" w:rsidRPr="006709AD" w:rsidRDefault="00DA25BF" w:rsidP="00DA25BF">
      <w:pPr>
        <w:pBdr>
          <w:top w:val="single" w:sz="4" w:space="1" w:color="auto"/>
          <w:left w:val="single" w:sz="4" w:space="0" w:color="auto"/>
          <w:bottom w:val="single" w:sz="4" w:space="1" w:color="auto"/>
          <w:right w:val="single" w:sz="4" w:space="4" w:color="auto"/>
        </w:pBdr>
        <w:spacing w:line="259" w:lineRule="auto"/>
        <w:rPr>
          <w:rFonts w:ascii="Verdana" w:eastAsia="Calibri" w:hAnsi="Verdana" w:cs="Times New Roman"/>
          <w:b/>
          <w:bCs/>
          <w:kern w:val="0"/>
          <w:sz w:val="18"/>
          <w:szCs w:val="18"/>
          <w14:ligatures w14:val="none"/>
        </w:rPr>
      </w:pPr>
      <w:permStart w:id="603739489" w:edGrp="everyone"/>
    </w:p>
    <w:p w14:paraId="5548E749" w14:textId="77777777" w:rsidR="00DA25BF" w:rsidRPr="006709AD" w:rsidRDefault="00DA25BF" w:rsidP="00DA25BF">
      <w:pPr>
        <w:pBdr>
          <w:top w:val="single" w:sz="4" w:space="1" w:color="auto"/>
          <w:left w:val="single" w:sz="4" w:space="0" w:color="auto"/>
          <w:bottom w:val="single" w:sz="4" w:space="1" w:color="auto"/>
          <w:right w:val="single" w:sz="4" w:space="4" w:color="auto"/>
        </w:pBdr>
        <w:spacing w:line="259" w:lineRule="auto"/>
        <w:rPr>
          <w:rFonts w:ascii="Verdana" w:eastAsia="Calibri" w:hAnsi="Verdana" w:cs="Times New Roman"/>
          <w:b/>
          <w:bCs/>
          <w:kern w:val="0"/>
          <w:sz w:val="18"/>
          <w:szCs w:val="18"/>
          <w14:ligatures w14:val="none"/>
        </w:rPr>
      </w:pPr>
    </w:p>
    <w:permEnd w:id="603739489"/>
    <w:p w14:paraId="24ECCE8F" w14:textId="77777777" w:rsidR="00342C01" w:rsidRDefault="00342C01" w:rsidP="0083496F">
      <w:pPr>
        <w:jc w:val="both"/>
      </w:pPr>
    </w:p>
    <w:sectPr w:rsidR="00342C01">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38E37" w14:textId="77777777" w:rsidR="003C2334" w:rsidRPr="006709AD" w:rsidRDefault="003C2334" w:rsidP="000A7E07">
      <w:pPr>
        <w:spacing w:after="0" w:line="240" w:lineRule="auto"/>
      </w:pPr>
      <w:r w:rsidRPr="006709AD">
        <w:separator/>
      </w:r>
    </w:p>
  </w:endnote>
  <w:endnote w:type="continuationSeparator" w:id="0">
    <w:p w14:paraId="1E07A2A2" w14:textId="77777777" w:rsidR="003C2334" w:rsidRPr="006709AD" w:rsidRDefault="003C2334" w:rsidP="000A7E07">
      <w:pPr>
        <w:spacing w:after="0" w:line="240" w:lineRule="auto"/>
      </w:pPr>
      <w:r w:rsidRPr="006709A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19D913" w14:textId="77777777" w:rsidR="003C2334" w:rsidRPr="006709AD" w:rsidRDefault="003C2334" w:rsidP="000A7E07">
      <w:pPr>
        <w:spacing w:after="0" w:line="240" w:lineRule="auto"/>
      </w:pPr>
      <w:r w:rsidRPr="006709AD">
        <w:separator/>
      </w:r>
    </w:p>
  </w:footnote>
  <w:footnote w:type="continuationSeparator" w:id="0">
    <w:p w14:paraId="5AC9ACB7" w14:textId="77777777" w:rsidR="003C2334" w:rsidRPr="006709AD" w:rsidRDefault="003C2334" w:rsidP="000A7E07">
      <w:pPr>
        <w:spacing w:after="0" w:line="240" w:lineRule="auto"/>
      </w:pPr>
      <w:r w:rsidRPr="006709A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EEF06" w14:textId="3A89521B" w:rsidR="00524D84" w:rsidRPr="006709AD" w:rsidRDefault="00524D84">
    <w:pPr>
      <w:pStyle w:val="Nagwek"/>
    </w:pPr>
    <w:r w:rsidRPr="006709AD">
      <w:rPr>
        <w:rFonts w:ascii="Calibri" w:eastAsia="Calibri" w:hAnsi="Calibri" w:cs="Times New Roman"/>
        <w:noProof/>
        <w:kern w:val="0"/>
        <w:sz w:val="22"/>
        <w:szCs w:val="22"/>
        <w14:ligatures w14:val="none"/>
      </w:rPr>
      <w:drawing>
        <wp:anchor distT="0" distB="0" distL="114300" distR="114300" simplePos="0" relativeHeight="251659264" behindDoc="0" locked="0" layoutInCell="1" allowOverlap="1" wp14:anchorId="411FB485" wp14:editId="62BE2563">
          <wp:simplePos x="0" y="0"/>
          <wp:positionH relativeFrom="page">
            <wp:posOffset>436245</wp:posOffset>
          </wp:positionH>
          <wp:positionV relativeFrom="page">
            <wp:posOffset>264795</wp:posOffset>
          </wp:positionV>
          <wp:extent cx="1860550" cy="478155"/>
          <wp:effectExtent l="0" t="0" r="0" b="4445"/>
          <wp:wrapNone/>
          <wp:docPr id="1353136713" name="Obraz 135313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0550" cy="47815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1" w:cryptProviderType="rsaAES" w:cryptAlgorithmClass="hash" w:cryptAlgorithmType="typeAny" w:cryptAlgorithmSid="14" w:cryptSpinCount="100000" w:hash="bs3q5DO9ZtBrW5C6R5FpfOdj7o+hd22wcDgtlm6xh5oqld08a+SeWhNxEWuoKYiAEchMzqGs904KiwZ7zzBdpg==" w:salt="9pLCD0V5bEbEkROcM1hAs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E07"/>
    <w:rsid w:val="0000139F"/>
    <w:rsid w:val="00020F29"/>
    <w:rsid w:val="000A7E07"/>
    <w:rsid w:val="000D03D4"/>
    <w:rsid w:val="000E0033"/>
    <w:rsid w:val="0011181B"/>
    <w:rsid w:val="00135900"/>
    <w:rsid w:val="00141274"/>
    <w:rsid w:val="00147B42"/>
    <w:rsid w:val="00155CBD"/>
    <w:rsid w:val="0016422F"/>
    <w:rsid w:val="00164F8D"/>
    <w:rsid w:val="001A1E02"/>
    <w:rsid w:val="001A4891"/>
    <w:rsid w:val="001D20B3"/>
    <w:rsid w:val="001F1ABA"/>
    <w:rsid w:val="001F7A12"/>
    <w:rsid w:val="00206545"/>
    <w:rsid w:val="00217A6A"/>
    <w:rsid w:val="00234B50"/>
    <w:rsid w:val="00244D34"/>
    <w:rsid w:val="00247032"/>
    <w:rsid w:val="002500A0"/>
    <w:rsid w:val="00276FBB"/>
    <w:rsid w:val="00285F42"/>
    <w:rsid w:val="00293480"/>
    <w:rsid w:val="002A212A"/>
    <w:rsid w:val="002B3394"/>
    <w:rsid w:val="003060E7"/>
    <w:rsid w:val="00320AB1"/>
    <w:rsid w:val="00342C01"/>
    <w:rsid w:val="003602D1"/>
    <w:rsid w:val="00363116"/>
    <w:rsid w:val="00374CB6"/>
    <w:rsid w:val="003915D7"/>
    <w:rsid w:val="00397487"/>
    <w:rsid w:val="003C18F6"/>
    <w:rsid w:val="003C2334"/>
    <w:rsid w:val="003E405E"/>
    <w:rsid w:val="004211ED"/>
    <w:rsid w:val="004438F0"/>
    <w:rsid w:val="00464EEA"/>
    <w:rsid w:val="00473DF2"/>
    <w:rsid w:val="00487905"/>
    <w:rsid w:val="00491801"/>
    <w:rsid w:val="004A26A2"/>
    <w:rsid w:val="004C0377"/>
    <w:rsid w:val="004C1555"/>
    <w:rsid w:val="004C29E9"/>
    <w:rsid w:val="004D060B"/>
    <w:rsid w:val="004D0966"/>
    <w:rsid w:val="004F3806"/>
    <w:rsid w:val="00524D84"/>
    <w:rsid w:val="00526B04"/>
    <w:rsid w:val="005361B0"/>
    <w:rsid w:val="00545A58"/>
    <w:rsid w:val="00545CCB"/>
    <w:rsid w:val="005513E3"/>
    <w:rsid w:val="00577D5E"/>
    <w:rsid w:val="005A61AE"/>
    <w:rsid w:val="005B11F0"/>
    <w:rsid w:val="005C3439"/>
    <w:rsid w:val="005C6B29"/>
    <w:rsid w:val="005E16F7"/>
    <w:rsid w:val="006403BC"/>
    <w:rsid w:val="00643167"/>
    <w:rsid w:val="006563D9"/>
    <w:rsid w:val="006709AD"/>
    <w:rsid w:val="006726E2"/>
    <w:rsid w:val="00684F40"/>
    <w:rsid w:val="00691619"/>
    <w:rsid w:val="00696634"/>
    <w:rsid w:val="006B049C"/>
    <w:rsid w:val="007070AD"/>
    <w:rsid w:val="00764AD0"/>
    <w:rsid w:val="007823AF"/>
    <w:rsid w:val="00791A8C"/>
    <w:rsid w:val="007B2227"/>
    <w:rsid w:val="007D1D6A"/>
    <w:rsid w:val="008200C2"/>
    <w:rsid w:val="0083496F"/>
    <w:rsid w:val="00851D2E"/>
    <w:rsid w:val="00870E1D"/>
    <w:rsid w:val="00873502"/>
    <w:rsid w:val="00891445"/>
    <w:rsid w:val="00897CE9"/>
    <w:rsid w:val="008A5FEA"/>
    <w:rsid w:val="008E57C6"/>
    <w:rsid w:val="008E78C0"/>
    <w:rsid w:val="008F2701"/>
    <w:rsid w:val="00904A93"/>
    <w:rsid w:val="00920CFA"/>
    <w:rsid w:val="00937416"/>
    <w:rsid w:val="00943CD0"/>
    <w:rsid w:val="009535EA"/>
    <w:rsid w:val="00963D5E"/>
    <w:rsid w:val="009731AF"/>
    <w:rsid w:val="009C1A0C"/>
    <w:rsid w:val="009C1A9D"/>
    <w:rsid w:val="009D25C3"/>
    <w:rsid w:val="00A0114C"/>
    <w:rsid w:val="00A306D4"/>
    <w:rsid w:val="00A56512"/>
    <w:rsid w:val="00A8689A"/>
    <w:rsid w:val="00AB2F9E"/>
    <w:rsid w:val="00AC1C4F"/>
    <w:rsid w:val="00AC4FA1"/>
    <w:rsid w:val="00AD3181"/>
    <w:rsid w:val="00AE3EF1"/>
    <w:rsid w:val="00B21A66"/>
    <w:rsid w:val="00B338C5"/>
    <w:rsid w:val="00B61696"/>
    <w:rsid w:val="00B963B1"/>
    <w:rsid w:val="00BC3819"/>
    <w:rsid w:val="00BC5E6B"/>
    <w:rsid w:val="00BE31CE"/>
    <w:rsid w:val="00BF4E94"/>
    <w:rsid w:val="00C16234"/>
    <w:rsid w:val="00C27A0A"/>
    <w:rsid w:val="00C536BC"/>
    <w:rsid w:val="00C6682A"/>
    <w:rsid w:val="00C95CE3"/>
    <w:rsid w:val="00C974F6"/>
    <w:rsid w:val="00CB6A68"/>
    <w:rsid w:val="00CC7D13"/>
    <w:rsid w:val="00CD3F8A"/>
    <w:rsid w:val="00CE4EA1"/>
    <w:rsid w:val="00D30333"/>
    <w:rsid w:val="00D70B1B"/>
    <w:rsid w:val="00D74008"/>
    <w:rsid w:val="00D879C4"/>
    <w:rsid w:val="00D904A7"/>
    <w:rsid w:val="00DA25BF"/>
    <w:rsid w:val="00DA60FC"/>
    <w:rsid w:val="00DD324B"/>
    <w:rsid w:val="00E2375A"/>
    <w:rsid w:val="00E604AC"/>
    <w:rsid w:val="00E615A0"/>
    <w:rsid w:val="00E85612"/>
    <w:rsid w:val="00EA245B"/>
    <w:rsid w:val="00EE4565"/>
    <w:rsid w:val="00EE4CF9"/>
    <w:rsid w:val="00EF07B6"/>
    <w:rsid w:val="00EF7BA6"/>
    <w:rsid w:val="00F3563D"/>
    <w:rsid w:val="00F43DF7"/>
    <w:rsid w:val="00F517E3"/>
    <w:rsid w:val="00F66CAA"/>
    <w:rsid w:val="00F77529"/>
    <w:rsid w:val="00F93DCC"/>
    <w:rsid w:val="00F9692B"/>
    <w:rsid w:val="00FA0512"/>
    <w:rsid w:val="00FA1873"/>
    <w:rsid w:val="00FC1126"/>
    <w:rsid w:val="00FC1544"/>
    <w:rsid w:val="00FE192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962EA"/>
  <w15:chartTrackingRefBased/>
  <w15:docId w15:val="{C768C195-6DB3-4C72-80B5-A28F9211D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lang w:val="en-US"/>
    </w:rPr>
  </w:style>
  <w:style w:type="paragraph" w:styleId="Nagwek1">
    <w:name w:val="heading 1"/>
    <w:basedOn w:val="Normalny"/>
    <w:next w:val="Normalny"/>
    <w:link w:val="Nagwek1Znak"/>
    <w:uiPriority w:val="9"/>
    <w:qFormat/>
    <w:rsid w:val="000A7E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0A7E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0A7E07"/>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0A7E07"/>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0A7E07"/>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0A7E07"/>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0A7E07"/>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0A7E07"/>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0A7E07"/>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A7E07"/>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0A7E07"/>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0A7E07"/>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0A7E07"/>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0A7E07"/>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0A7E07"/>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0A7E07"/>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0A7E07"/>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0A7E07"/>
    <w:rPr>
      <w:rFonts w:eastAsiaTheme="majorEastAsia" w:cstheme="majorBidi"/>
      <w:color w:val="272727" w:themeColor="text1" w:themeTint="D8"/>
    </w:rPr>
  </w:style>
  <w:style w:type="paragraph" w:styleId="Tytu">
    <w:name w:val="Title"/>
    <w:basedOn w:val="Normalny"/>
    <w:next w:val="Normalny"/>
    <w:link w:val="TytuZnak"/>
    <w:uiPriority w:val="10"/>
    <w:qFormat/>
    <w:rsid w:val="000A7E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0A7E07"/>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0A7E07"/>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0A7E07"/>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0A7E07"/>
    <w:pPr>
      <w:spacing w:before="160"/>
      <w:jc w:val="center"/>
    </w:pPr>
    <w:rPr>
      <w:i/>
      <w:iCs/>
      <w:color w:val="404040" w:themeColor="text1" w:themeTint="BF"/>
    </w:rPr>
  </w:style>
  <w:style w:type="character" w:customStyle="1" w:styleId="CytatZnak">
    <w:name w:val="Cytat Znak"/>
    <w:basedOn w:val="Domylnaczcionkaakapitu"/>
    <w:link w:val="Cytat"/>
    <w:uiPriority w:val="29"/>
    <w:rsid w:val="000A7E07"/>
    <w:rPr>
      <w:i/>
      <w:iCs/>
      <w:color w:val="404040" w:themeColor="text1" w:themeTint="BF"/>
    </w:rPr>
  </w:style>
  <w:style w:type="paragraph" w:styleId="Akapitzlist">
    <w:name w:val="List Paragraph"/>
    <w:basedOn w:val="Normalny"/>
    <w:uiPriority w:val="34"/>
    <w:qFormat/>
    <w:rsid w:val="000A7E07"/>
    <w:pPr>
      <w:ind w:left="720"/>
      <w:contextualSpacing/>
    </w:pPr>
  </w:style>
  <w:style w:type="character" w:styleId="Wyrnienieintensywne">
    <w:name w:val="Intense Emphasis"/>
    <w:basedOn w:val="Domylnaczcionkaakapitu"/>
    <w:uiPriority w:val="21"/>
    <w:qFormat/>
    <w:rsid w:val="000A7E07"/>
    <w:rPr>
      <w:i/>
      <w:iCs/>
      <w:color w:val="0F4761" w:themeColor="accent1" w:themeShade="BF"/>
    </w:rPr>
  </w:style>
  <w:style w:type="paragraph" w:styleId="Cytatintensywny">
    <w:name w:val="Intense Quote"/>
    <w:basedOn w:val="Normalny"/>
    <w:next w:val="Normalny"/>
    <w:link w:val="CytatintensywnyZnak"/>
    <w:uiPriority w:val="30"/>
    <w:qFormat/>
    <w:rsid w:val="000A7E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0A7E07"/>
    <w:rPr>
      <w:i/>
      <w:iCs/>
      <w:color w:val="0F4761" w:themeColor="accent1" w:themeShade="BF"/>
    </w:rPr>
  </w:style>
  <w:style w:type="character" w:styleId="Odwoanieintensywne">
    <w:name w:val="Intense Reference"/>
    <w:basedOn w:val="Domylnaczcionkaakapitu"/>
    <w:uiPriority w:val="32"/>
    <w:qFormat/>
    <w:rsid w:val="000A7E07"/>
    <w:rPr>
      <w:b/>
      <w:bCs/>
      <w:smallCaps/>
      <w:color w:val="0F4761" w:themeColor="accent1" w:themeShade="BF"/>
      <w:spacing w:val="5"/>
    </w:rPr>
  </w:style>
  <w:style w:type="paragraph" w:styleId="Tekstprzypisukocowego">
    <w:name w:val="endnote text"/>
    <w:basedOn w:val="Normalny"/>
    <w:link w:val="TekstprzypisukocowegoZnak"/>
    <w:uiPriority w:val="99"/>
    <w:semiHidden/>
    <w:unhideWhenUsed/>
    <w:rsid w:val="000A7E0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A7E07"/>
    <w:rPr>
      <w:sz w:val="20"/>
      <w:szCs w:val="20"/>
    </w:rPr>
  </w:style>
  <w:style w:type="character" w:styleId="Odwoanieprzypisukocowego">
    <w:name w:val="endnote reference"/>
    <w:basedOn w:val="Domylnaczcionkaakapitu"/>
    <w:uiPriority w:val="99"/>
    <w:semiHidden/>
    <w:unhideWhenUsed/>
    <w:rsid w:val="000A7E07"/>
    <w:rPr>
      <w:vertAlign w:val="superscript"/>
    </w:rPr>
  </w:style>
  <w:style w:type="paragraph" w:styleId="Tekstprzypisudolnego">
    <w:name w:val="footnote text"/>
    <w:basedOn w:val="Normalny"/>
    <w:link w:val="TekstprzypisudolnegoZnak"/>
    <w:uiPriority w:val="99"/>
    <w:semiHidden/>
    <w:unhideWhenUsed/>
    <w:rsid w:val="00CB6A68"/>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CB6A68"/>
    <w:rPr>
      <w:sz w:val="20"/>
      <w:szCs w:val="20"/>
    </w:rPr>
  </w:style>
  <w:style w:type="character" w:styleId="Odwoanieprzypisudolnego">
    <w:name w:val="footnote reference"/>
    <w:basedOn w:val="Domylnaczcionkaakapitu"/>
    <w:uiPriority w:val="99"/>
    <w:semiHidden/>
    <w:unhideWhenUsed/>
    <w:rsid w:val="00CB6A68"/>
    <w:rPr>
      <w:vertAlign w:val="superscript"/>
    </w:rPr>
  </w:style>
  <w:style w:type="paragraph" w:styleId="Poprawka">
    <w:name w:val="Revision"/>
    <w:hidden/>
    <w:uiPriority w:val="99"/>
    <w:semiHidden/>
    <w:rsid w:val="00691619"/>
    <w:pPr>
      <w:spacing w:after="0" w:line="240" w:lineRule="auto"/>
    </w:pPr>
  </w:style>
  <w:style w:type="character" w:styleId="Odwoaniedokomentarza">
    <w:name w:val="annotation reference"/>
    <w:basedOn w:val="Domylnaczcionkaakapitu"/>
    <w:uiPriority w:val="99"/>
    <w:semiHidden/>
    <w:unhideWhenUsed/>
    <w:rsid w:val="00791A8C"/>
    <w:rPr>
      <w:sz w:val="16"/>
      <w:szCs w:val="16"/>
    </w:rPr>
  </w:style>
  <w:style w:type="paragraph" w:styleId="Tekstkomentarza">
    <w:name w:val="annotation text"/>
    <w:basedOn w:val="Normalny"/>
    <w:link w:val="TekstkomentarzaZnak"/>
    <w:uiPriority w:val="99"/>
    <w:unhideWhenUsed/>
    <w:rsid w:val="00791A8C"/>
    <w:pPr>
      <w:spacing w:line="240" w:lineRule="auto"/>
    </w:pPr>
    <w:rPr>
      <w:sz w:val="20"/>
      <w:szCs w:val="20"/>
    </w:rPr>
  </w:style>
  <w:style w:type="character" w:customStyle="1" w:styleId="TekstkomentarzaZnak">
    <w:name w:val="Tekst komentarza Znak"/>
    <w:basedOn w:val="Domylnaczcionkaakapitu"/>
    <w:link w:val="Tekstkomentarza"/>
    <w:uiPriority w:val="99"/>
    <w:rsid w:val="00791A8C"/>
    <w:rPr>
      <w:sz w:val="20"/>
      <w:szCs w:val="20"/>
    </w:rPr>
  </w:style>
  <w:style w:type="paragraph" w:styleId="Tematkomentarza">
    <w:name w:val="annotation subject"/>
    <w:basedOn w:val="Tekstkomentarza"/>
    <w:next w:val="Tekstkomentarza"/>
    <w:link w:val="TematkomentarzaZnak"/>
    <w:uiPriority w:val="99"/>
    <w:semiHidden/>
    <w:unhideWhenUsed/>
    <w:rsid w:val="00791A8C"/>
    <w:rPr>
      <w:b/>
      <w:bCs/>
    </w:rPr>
  </w:style>
  <w:style w:type="character" w:customStyle="1" w:styleId="TematkomentarzaZnak">
    <w:name w:val="Temat komentarza Znak"/>
    <w:basedOn w:val="TekstkomentarzaZnak"/>
    <w:link w:val="Tematkomentarza"/>
    <w:uiPriority w:val="99"/>
    <w:semiHidden/>
    <w:rsid w:val="00791A8C"/>
    <w:rPr>
      <w:b/>
      <w:bCs/>
      <w:sz w:val="20"/>
      <w:szCs w:val="20"/>
    </w:rPr>
  </w:style>
  <w:style w:type="character" w:styleId="Tekstzastpczy">
    <w:name w:val="Placeholder Text"/>
    <w:basedOn w:val="Domylnaczcionkaakapitu"/>
    <w:uiPriority w:val="99"/>
    <w:semiHidden/>
    <w:rsid w:val="0000139F"/>
    <w:rPr>
      <w:color w:val="666666"/>
    </w:rPr>
  </w:style>
  <w:style w:type="paragraph" w:styleId="Nagwek">
    <w:name w:val="header"/>
    <w:basedOn w:val="Normalny"/>
    <w:link w:val="NagwekZnak"/>
    <w:uiPriority w:val="99"/>
    <w:unhideWhenUsed/>
    <w:rsid w:val="00524D8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24D84"/>
  </w:style>
  <w:style w:type="paragraph" w:styleId="Stopka">
    <w:name w:val="footer"/>
    <w:basedOn w:val="Normalny"/>
    <w:link w:val="StopkaZnak"/>
    <w:uiPriority w:val="99"/>
    <w:unhideWhenUsed/>
    <w:rsid w:val="00524D8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24D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493E0076190734DB8A62F55E1652336" ma:contentTypeVersion="10" ma:contentTypeDescription="Utwórz nowy dokument." ma:contentTypeScope="" ma:versionID="d0112ea05d0e5ee4dedf4c9bc2f15cbd">
  <xsd:schema xmlns:xsd="http://www.w3.org/2001/XMLSchema" xmlns:xs="http://www.w3.org/2001/XMLSchema" xmlns:p="http://schemas.microsoft.com/office/2006/metadata/properties" xmlns:ns3="9184d890-c1f9-41c4-8596-d00b9e6d4275" targetNamespace="http://schemas.microsoft.com/office/2006/metadata/properties" ma:root="true" ma:fieldsID="9a6323b4053a175abc52ea95871943f2" ns3:_="">
    <xsd:import namespace="9184d890-c1f9-41c4-8596-d00b9e6d4275"/>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element ref="ns3:MediaServiceSystemTags" minOccurs="0"/>
                <xsd:element ref="ns3:MediaServiceGenerationTime" minOccurs="0"/>
                <xsd:element ref="ns3:MediaServiceEventHashCode"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84d890-c1f9-41c4-8596-d00b9e6d4275"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9184d890-c1f9-41c4-8596-d00b9e6d4275" xsi:nil="true"/>
  </documentManagement>
</p:properties>
</file>

<file path=customXml/itemProps1.xml><?xml version="1.0" encoding="utf-8"?>
<ds:datastoreItem xmlns:ds="http://schemas.openxmlformats.org/officeDocument/2006/customXml" ds:itemID="{410D28CD-AB1F-45C0-95D6-45C8A9C75A8E}">
  <ds:schemaRefs>
    <ds:schemaRef ds:uri="http://schemas.openxmlformats.org/officeDocument/2006/bibliography"/>
  </ds:schemaRefs>
</ds:datastoreItem>
</file>

<file path=customXml/itemProps2.xml><?xml version="1.0" encoding="utf-8"?>
<ds:datastoreItem xmlns:ds="http://schemas.openxmlformats.org/officeDocument/2006/customXml" ds:itemID="{47DB81EB-5927-438C-9CA5-B576A2FA0559}">
  <ds:schemaRefs>
    <ds:schemaRef ds:uri="http://schemas.microsoft.com/sharepoint/v3/contenttype/forms"/>
  </ds:schemaRefs>
</ds:datastoreItem>
</file>

<file path=customXml/itemProps3.xml><?xml version="1.0" encoding="utf-8"?>
<ds:datastoreItem xmlns:ds="http://schemas.openxmlformats.org/officeDocument/2006/customXml" ds:itemID="{8DB3E58F-0E14-443D-A863-B5CDF2BCF7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84d890-c1f9-41c4-8596-d00b9e6d42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8FC102-7D90-4EF0-9176-713A84317389}">
  <ds:schemaRefs>
    <ds:schemaRef ds:uri="http://purl.org/dc/terms/"/>
    <ds:schemaRef ds:uri="http://www.w3.org/XML/1998/namespace"/>
    <ds:schemaRef ds:uri="http://purl.org/dc/elements/1.1/"/>
    <ds:schemaRef ds:uri="http://schemas.microsoft.com/office/2006/metadata/properties"/>
    <ds:schemaRef ds:uri="http://purl.org/dc/dcmitype/"/>
    <ds:schemaRef ds:uri="9184d890-c1f9-41c4-8596-d00b9e6d4275"/>
    <ds:schemaRef ds:uri="http://schemas.openxmlformats.org/package/2006/metadata/core-properties"/>
    <ds:schemaRef ds:uri="http://schemas.microsoft.com/office/2006/documentManagement/types"/>
    <ds:schemaRef ds:uri="http://schemas.microsoft.com/office/infopath/2007/PartnerControls"/>
  </ds:schemaRefs>
</ds:datastoreItem>
</file>

<file path=docMetadata/LabelInfo.xml><?xml version="1.0" encoding="utf-8"?>
<clbl:labelList xmlns:clbl="http://schemas.microsoft.com/office/2020/mipLabelMetadata">
  <clbl:label id="{a340375a-1ea0-4cdd-8a49-9cd1039ff159}" enabled="0" method="" siteId="{a340375a-1ea0-4cdd-8a49-9cd1039ff159}" removed="1"/>
</clbl:labelList>
</file>

<file path=docProps/app.xml><?xml version="1.0" encoding="utf-8"?>
<Properties xmlns="http://schemas.openxmlformats.org/officeDocument/2006/extended-properties" xmlns:vt="http://schemas.openxmlformats.org/officeDocument/2006/docPropsVTypes">
  <Template>Normal</Template>
  <TotalTime>1</TotalTime>
  <Pages>3</Pages>
  <Words>971</Words>
  <Characters>5832</Characters>
  <Application>Microsoft Office Word</Application>
  <DocSecurity>8</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Bluj Aleksandra</dc:creator>
  <cp:keywords/>
  <dc:description/>
  <cp:lastModifiedBy>GPW Benchmark</cp:lastModifiedBy>
  <cp:revision>2</cp:revision>
  <dcterms:created xsi:type="dcterms:W3CDTF">2026-04-24T16:04:00Z</dcterms:created>
  <dcterms:modified xsi:type="dcterms:W3CDTF">2026-04-24T16:04:00Z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0x0101003493E0076190734DB8A62F55E1652336</vt:lpwstr>
  </property>
</Properties>
</file>