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E44FCC6" w14:textId="77777777" w:rsidR="0092452F" w:rsidRPr="00FA5AE3" w:rsidRDefault="0092452F" w:rsidP="0092452F">
      <w:pPr>
        <w:spacing w:after="0" w:line="360" w:lineRule="auto"/>
        <w:jc w:val="center"/>
        <w:rPr>
          <w:rFonts w:ascii="Verdana" w:hAnsi="Verdana"/>
          <w:b/>
          <w:bCs/>
          <w:color w:val="auto"/>
          <w:szCs w:val="18"/>
          <w:lang w:val="en-GB"/>
        </w:rPr>
      </w:pPr>
      <w:r w:rsidRPr="00FA5AE3">
        <w:rPr>
          <w:rFonts w:ascii="Verdana" w:hAnsi="Verdana"/>
          <w:b/>
          <w:color w:val="auto"/>
          <w:lang w:val="en-GB"/>
        </w:rPr>
        <w:t xml:space="preserve">Rules for Granting Licences for the Use and Apply of Benchmark Indices in Debt Securities </w:t>
      </w:r>
    </w:p>
    <w:p w14:paraId="67A23414" w14:textId="77777777" w:rsidR="0092452F" w:rsidRPr="00FA5AE3" w:rsidRDefault="0092452F" w:rsidP="0092452F">
      <w:pPr>
        <w:spacing w:after="0" w:line="360" w:lineRule="auto"/>
        <w:jc w:val="center"/>
        <w:rPr>
          <w:rFonts w:ascii="Verdana" w:hAnsi="Verdana"/>
          <w:b/>
          <w:bCs/>
          <w:color w:val="auto"/>
          <w:szCs w:val="18"/>
          <w:lang w:val="en-GB"/>
        </w:rPr>
      </w:pPr>
    </w:p>
    <w:p w14:paraId="54B4DB13" w14:textId="77777777" w:rsidR="0092452F" w:rsidRPr="00FA5AE3" w:rsidRDefault="0092452F" w:rsidP="0092452F">
      <w:pPr>
        <w:spacing w:after="0" w:line="360" w:lineRule="auto"/>
        <w:jc w:val="center"/>
        <w:rPr>
          <w:rFonts w:ascii="Verdana" w:hAnsi="Verdana"/>
          <w:b/>
          <w:bCs/>
          <w:color w:val="auto"/>
          <w:szCs w:val="18"/>
          <w:lang w:val="en-GB"/>
        </w:rPr>
      </w:pPr>
    </w:p>
    <w:p w14:paraId="394552C0" w14:textId="77777777" w:rsidR="0092452F" w:rsidRPr="00FA5AE3" w:rsidRDefault="0092452F" w:rsidP="0092452F">
      <w:pPr>
        <w:spacing w:after="0" w:line="360" w:lineRule="auto"/>
        <w:rPr>
          <w:rFonts w:ascii="Verdana" w:hAnsi="Verdana"/>
          <w:b/>
          <w:bCs/>
          <w:color w:val="auto"/>
          <w:szCs w:val="18"/>
          <w:lang w:val="en-GB"/>
        </w:rPr>
      </w:pPr>
    </w:p>
    <w:p w14:paraId="33846A57" w14:textId="77777777" w:rsidR="0092452F" w:rsidRPr="00FA5AE3" w:rsidRDefault="0092452F" w:rsidP="0092452F">
      <w:pPr>
        <w:spacing w:after="0" w:line="360" w:lineRule="auto"/>
        <w:jc w:val="center"/>
        <w:rPr>
          <w:rFonts w:ascii="Verdana" w:hAnsi="Verdana"/>
          <w:b/>
          <w:bCs/>
          <w:color w:val="auto"/>
          <w:szCs w:val="18"/>
          <w:lang w:val="en-GB"/>
        </w:rPr>
      </w:pPr>
      <w:r w:rsidRPr="00FA5AE3">
        <w:rPr>
          <w:rFonts w:ascii="Verdana" w:hAnsi="Verdana"/>
          <w:b/>
          <w:color w:val="auto"/>
          <w:lang w:val="en-GB"/>
        </w:rPr>
        <w:t>§ 1</w:t>
      </w:r>
    </w:p>
    <w:p w14:paraId="79F0563B" w14:textId="77777777" w:rsidR="0092452F" w:rsidRPr="00FA5AE3" w:rsidRDefault="0092452F" w:rsidP="0092452F">
      <w:pPr>
        <w:spacing w:after="0" w:line="360" w:lineRule="auto"/>
        <w:jc w:val="center"/>
        <w:rPr>
          <w:rFonts w:ascii="Verdana" w:hAnsi="Verdana"/>
          <w:b/>
          <w:bCs/>
          <w:color w:val="auto"/>
          <w:szCs w:val="18"/>
          <w:lang w:val="en-GB"/>
        </w:rPr>
      </w:pPr>
      <w:r w:rsidRPr="00FA5AE3">
        <w:rPr>
          <w:rFonts w:ascii="Verdana" w:hAnsi="Verdana"/>
          <w:b/>
          <w:color w:val="auto"/>
          <w:lang w:val="en-GB"/>
        </w:rPr>
        <w:t xml:space="preserve">Scope of Application </w:t>
      </w:r>
    </w:p>
    <w:p w14:paraId="14291258" w14:textId="77777777" w:rsidR="0092452F" w:rsidRPr="00FA5AE3" w:rsidRDefault="0092452F" w:rsidP="0092452F">
      <w:pPr>
        <w:pStyle w:val="Akapitzlist"/>
        <w:numPr>
          <w:ilvl w:val="0"/>
          <w:numId w:val="1"/>
        </w:numPr>
        <w:spacing w:after="0" w:line="360" w:lineRule="auto"/>
        <w:jc w:val="both"/>
        <w:rPr>
          <w:rFonts w:ascii="Verdana" w:hAnsi="Verdana"/>
          <w:color w:val="auto"/>
          <w:szCs w:val="18"/>
          <w:lang w:val="en-GB"/>
        </w:rPr>
      </w:pPr>
      <w:r w:rsidRPr="00FA5AE3">
        <w:rPr>
          <w:rFonts w:ascii="Verdana" w:hAnsi="Verdana"/>
          <w:color w:val="auto"/>
          <w:lang w:val="en-GB"/>
        </w:rPr>
        <w:t>These Rules for Granting Licences for the Use and Apply of Benchmark Indices in Debt Securities shall set forth:</w:t>
      </w:r>
    </w:p>
    <w:p w14:paraId="06B165A8" w14:textId="77777777" w:rsidR="0092452F" w:rsidRPr="00FA5AE3" w:rsidRDefault="0092452F" w:rsidP="0092452F">
      <w:pPr>
        <w:pStyle w:val="Akapitzlist"/>
        <w:numPr>
          <w:ilvl w:val="0"/>
          <w:numId w:val="2"/>
        </w:numPr>
        <w:spacing w:after="0" w:line="360" w:lineRule="auto"/>
        <w:jc w:val="both"/>
        <w:rPr>
          <w:rFonts w:ascii="Verdana" w:hAnsi="Verdana"/>
          <w:color w:val="auto"/>
          <w:szCs w:val="18"/>
          <w:lang w:val="en-GB"/>
        </w:rPr>
      </w:pPr>
      <w:r w:rsidRPr="00FA5AE3">
        <w:rPr>
          <w:rFonts w:ascii="Verdana" w:hAnsi="Verdana"/>
          <w:color w:val="auto"/>
          <w:lang w:val="en-GB"/>
        </w:rPr>
        <w:t>the rules governing the granting of licences by the Administrator for using and applying interest rate Benchmarks in debt securities, for the purpose of calculating the amounts due and payable arising out of the interest determined on the basis of a selected Benchmark;</w:t>
      </w:r>
    </w:p>
    <w:p w14:paraId="5E958D89" w14:textId="0EBA045E" w:rsidR="0092452F" w:rsidRPr="00FA5AE3" w:rsidRDefault="0092452F" w:rsidP="0092452F">
      <w:pPr>
        <w:pStyle w:val="Akapitzlist"/>
        <w:numPr>
          <w:ilvl w:val="0"/>
          <w:numId w:val="2"/>
        </w:numPr>
        <w:spacing w:after="0" w:line="360" w:lineRule="auto"/>
        <w:jc w:val="both"/>
        <w:rPr>
          <w:rFonts w:ascii="Verdana" w:hAnsi="Verdana"/>
          <w:color w:val="auto"/>
          <w:szCs w:val="18"/>
          <w:lang w:val="en-GB"/>
        </w:rPr>
      </w:pPr>
      <w:r w:rsidRPr="00FA5AE3">
        <w:rPr>
          <w:rFonts w:ascii="Verdana" w:hAnsi="Verdana"/>
          <w:color w:val="auto"/>
          <w:lang w:val="en-GB"/>
        </w:rPr>
        <w:t xml:space="preserve">the rights and obligations of the </w:t>
      </w:r>
      <w:r w:rsidR="00FA5AE3">
        <w:rPr>
          <w:rFonts w:ascii="Verdana" w:hAnsi="Verdana"/>
          <w:color w:val="auto"/>
          <w:lang w:val="en-GB"/>
        </w:rPr>
        <w:t>Licensee</w:t>
      </w:r>
      <w:r w:rsidRPr="00FA5AE3">
        <w:rPr>
          <w:rFonts w:ascii="Verdana" w:hAnsi="Verdana"/>
          <w:color w:val="auto"/>
          <w:lang w:val="en-GB"/>
        </w:rPr>
        <w:t xml:space="preserve"> and the Administrator resulting from the granting of a licence for using and applying interest rate Benchmarks provided by the Administrator. </w:t>
      </w:r>
    </w:p>
    <w:p w14:paraId="2A63A0C1" w14:textId="77777777" w:rsidR="0092452F" w:rsidRPr="00FA5AE3" w:rsidRDefault="0092452F" w:rsidP="0092452F">
      <w:pPr>
        <w:pStyle w:val="Akapitzlist"/>
        <w:numPr>
          <w:ilvl w:val="0"/>
          <w:numId w:val="1"/>
        </w:numPr>
        <w:spacing w:after="0" w:line="360" w:lineRule="auto"/>
        <w:jc w:val="both"/>
        <w:rPr>
          <w:rFonts w:ascii="Verdana" w:hAnsi="Verdana"/>
          <w:color w:val="auto"/>
          <w:szCs w:val="18"/>
          <w:lang w:val="en-GB"/>
        </w:rPr>
      </w:pPr>
      <w:r w:rsidRPr="00FA5AE3">
        <w:rPr>
          <w:rFonts w:ascii="Verdana" w:hAnsi="Verdana"/>
          <w:color w:val="auto"/>
          <w:lang w:val="en-GB"/>
        </w:rPr>
        <w:t xml:space="preserve">A licence for using and applying Benchmarks developed by the Administrator beyond the scope defined in par. 1(a) shall be granted under the general rules stipulated in the Licence Agreement, a template of which has been made available on the Administrator’s website. </w:t>
      </w:r>
    </w:p>
    <w:p w14:paraId="4B1AD9BD" w14:textId="3C6EDAF3" w:rsidR="0092452F" w:rsidRPr="00FA5AE3" w:rsidRDefault="0092452F" w:rsidP="0092452F">
      <w:pPr>
        <w:pStyle w:val="Akapitzlist"/>
        <w:numPr>
          <w:ilvl w:val="0"/>
          <w:numId w:val="1"/>
        </w:numPr>
        <w:spacing w:after="0" w:line="360" w:lineRule="auto"/>
        <w:jc w:val="both"/>
        <w:rPr>
          <w:rFonts w:ascii="Verdana" w:hAnsi="Verdana"/>
          <w:color w:val="auto"/>
          <w:szCs w:val="18"/>
          <w:lang w:val="en-GB"/>
        </w:rPr>
      </w:pPr>
      <w:r w:rsidRPr="00FA5AE3">
        <w:rPr>
          <w:rFonts w:ascii="Verdana" w:hAnsi="Verdana"/>
          <w:color w:val="auto"/>
          <w:lang w:val="en-GB"/>
        </w:rPr>
        <w:t xml:space="preserve">The Rules shall not apply to entities who have obtained a </w:t>
      </w:r>
      <w:r w:rsidR="00FA5AE3" w:rsidRPr="00FA5AE3">
        <w:rPr>
          <w:rFonts w:ascii="Verdana" w:hAnsi="Verdana"/>
          <w:color w:val="auto"/>
          <w:lang w:val="en-GB"/>
        </w:rPr>
        <w:t xml:space="preserve">Benchmark using and applying </w:t>
      </w:r>
      <w:r w:rsidRPr="00FA5AE3">
        <w:rPr>
          <w:rFonts w:ascii="Verdana" w:hAnsi="Verdana"/>
          <w:color w:val="auto"/>
          <w:lang w:val="en-GB"/>
        </w:rPr>
        <w:t xml:space="preserve">licence under general rules, based on the Licence Agreement referred to in par. 2. </w:t>
      </w:r>
    </w:p>
    <w:p w14:paraId="60200864" w14:textId="37925749" w:rsidR="0092452F" w:rsidRPr="00FA5AE3" w:rsidRDefault="0092452F" w:rsidP="0092452F">
      <w:pPr>
        <w:pStyle w:val="Akapitzlist"/>
        <w:numPr>
          <w:ilvl w:val="0"/>
          <w:numId w:val="1"/>
        </w:numPr>
        <w:spacing w:after="0" w:line="360" w:lineRule="auto"/>
        <w:jc w:val="both"/>
        <w:rPr>
          <w:rFonts w:ascii="Verdana" w:hAnsi="Verdana"/>
          <w:color w:val="auto"/>
          <w:szCs w:val="18"/>
          <w:lang w:val="en-GB"/>
        </w:rPr>
      </w:pPr>
      <w:r w:rsidRPr="00FA5AE3">
        <w:rPr>
          <w:rFonts w:ascii="Verdana" w:hAnsi="Verdana"/>
          <w:color w:val="auto"/>
          <w:lang w:val="en-GB"/>
        </w:rPr>
        <w:t>Unless the Rules applicable to a selected Benchmark state otherwise, obtaining access to</w:t>
      </w:r>
      <w:r w:rsidR="00F1283D">
        <w:rPr>
          <w:rFonts w:ascii="Verdana" w:hAnsi="Verdana"/>
          <w:color w:val="auto"/>
          <w:lang w:val="en-GB"/>
        </w:rPr>
        <w:t> </w:t>
      </w:r>
      <w:r w:rsidRPr="00FA5AE3">
        <w:rPr>
          <w:rFonts w:ascii="Verdana" w:hAnsi="Verdana"/>
          <w:color w:val="auto"/>
          <w:lang w:val="en-GB"/>
        </w:rPr>
        <w:t>and</w:t>
      </w:r>
      <w:r w:rsidR="00F1283D">
        <w:rPr>
          <w:rFonts w:ascii="Verdana" w:hAnsi="Verdana"/>
          <w:color w:val="auto"/>
          <w:lang w:val="en-GB"/>
        </w:rPr>
        <w:t> </w:t>
      </w:r>
      <w:r w:rsidRPr="00FA5AE3">
        <w:rPr>
          <w:rFonts w:ascii="Verdana" w:hAnsi="Verdana"/>
          <w:color w:val="auto"/>
          <w:lang w:val="en-GB"/>
        </w:rPr>
        <w:t>using Benchmark market data shall require signing a licence agreement with the Warsaw Stock Exchange (</w:t>
      </w:r>
      <w:r w:rsidR="00FA5AE3">
        <w:rPr>
          <w:rFonts w:ascii="Verdana" w:hAnsi="Verdana"/>
          <w:color w:val="auto"/>
          <w:lang w:val="en-GB"/>
        </w:rPr>
        <w:t xml:space="preserve">Polish: </w:t>
      </w:r>
      <w:r w:rsidRPr="00FA5AE3">
        <w:rPr>
          <w:rFonts w:ascii="Verdana" w:hAnsi="Verdana"/>
          <w:i/>
          <w:iCs/>
          <w:color w:val="auto"/>
          <w:lang w:val="en-GB"/>
        </w:rPr>
        <w:t>Giełda Papierów Wartościowych w Warszawie S.A.</w:t>
      </w:r>
      <w:r w:rsidRPr="00FA5AE3">
        <w:rPr>
          <w:rFonts w:ascii="Verdana" w:hAnsi="Verdana"/>
          <w:color w:val="auto"/>
          <w:lang w:val="en-GB"/>
        </w:rPr>
        <w:t>) and/or a data distributor, whereas sharing such market data shall require signing a licence agreement with the Warsaw Stock Exchange.</w:t>
      </w:r>
    </w:p>
    <w:p w14:paraId="47EED146" w14:textId="77777777" w:rsidR="0092452F" w:rsidRPr="00FA5AE3" w:rsidRDefault="0092452F" w:rsidP="0092452F">
      <w:pPr>
        <w:pStyle w:val="Akapitzlist"/>
        <w:spacing w:after="0" w:line="360" w:lineRule="auto"/>
        <w:jc w:val="both"/>
        <w:rPr>
          <w:rFonts w:ascii="Verdana" w:hAnsi="Verdana"/>
          <w:color w:val="auto"/>
          <w:szCs w:val="18"/>
          <w:lang w:val="en-GB"/>
        </w:rPr>
      </w:pPr>
    </w:p>
    <w:p w14:paraId="23E615C2" w14:textId="77777777" w:rsidR="0092452F" w:rsidRPr="00FA5AE3" w:rsidRDefault="0092452F" w:rsidP="0092452F">
      <w:pPr>
        <w:spacing w:after="0" w:line="360" w:lineRule="auto"/>
        <w:jc w:val="center"/>
        <w:rPr>
          <w:rFonts w:ascii="Verdana" w:hAnsi="Verdana"/>
          <w:b/>
          <w:bCs/>
          <w:color w:val="auto"/>
          <w:szCs w:val="18"/>
          <w:lang w:val="en-GB"/>
        </w:rPr>
      </w:pPr>
      <w:r w:rsidRPr="00FA5AE3">
        <w:rPr>
          <w:rFonts w:ascii="Verdana" w:hAnsi="Verdana"/>
          <w:b/>
          <w:color w:val="auto"/>
          <w:lang w:val="en-GB"/>
        </w:rPr>
        <w:t>§ 2</w:t>
      </w:r>
    </w:p>
    <w:p w14:paraId="4CDD6E25" w14:textId="77777777" w:rsidR="0092452F" w:rsidRPr="00FA5AE3" w:rsidRDefault="0092452F" w:rsidP="0092452F">
      <w:pPr>
        <w:spacing w:after="0" w:line="360" w:lineRule="auto"/>
        <w:jc w:val="center"/>
        <w:rPr>
          <w:rFonts w:ascii="Verdana" w:hAnsi="Verdana"/>
          <w:b/>
          <w:bCs/>
          <w:color w:val="auto"/>
          <w:szCs w:val="18"/>
          <w:lang w:val="en-GB"/>
        </w:rPr>
      </w:pPr>
      <w:r w:rsidRPr="00FA5AE3">
        <w:rPr>
          <w:rFonts w:ascii="Verdana" w:hAnsi="Verdana"/>
          <w:b/>
          <w:color w:val="auto"/>
          <w:lang w:val="en-GB"/>
        </w:rPr>
        <w:t>Definitions</w:t>
      </w:r>
    </w:p>
    <w:p w14:paraId="65D763E5" w14:textId="77777777" w:rsidR="0092452F" w:rsidRPr="00FA5AE3" w:rsidRDefault="0092452F" w:rsidP="0092452F">
      <w:pPr>
        <w:pStyle w:val="Akapitzlist"/>
        <w:numPr>
          <w:ilvl w:val="0"/>
          <w:numId w:val="3"/>
        </w:numPr>
        <w:spacing w:after="0" w:line="360" w:lineRule="auto"/>
        <w:rPr>
          <w:rFonts w:ascii="Verdana" w:hAnsi="Verdana"/>
          <w:color w:val="auto"/>
          <w:szCs w:val="18"/>
          <w:lang w:val="en-GB"/>
        </w:rPr>
      </w:pPr>
      <w:r w:rsidRPr="00FA5AE3">
        <w:rPr>
          <w:rFonts w:ascii="Verdana" w:hAnsi="Verdana"/>
          <w:color w:val="auto"/>
          <w:lang w:val="en-GB"/>
        </w:rPr>
        <w:t>The following terms used in these Rules shall be understood as follows:</w:t>
      </w:r>
    </w:p>
    <w:p w14:paraId="13203BF5" w14:textId="77777777" w:rsidR="0092452F" w:rsidRPr="00FA5AE3" w:rsidRDefault="0092452F" w:rsidP="0092452F">
      <w:pPr>
        <w:pStyle w:val="Akapitzlist"/>
        <w:numPr>
          <w:ilvl w:val="0"/>
          <w:numId w:val="4"/>
        </w:numPr>
        <w:spacing w:after="0" w:line="360" w:lineRule="auto"/>
        <w:rPr>
          <w:rFonts w:ascii="Verdana" w:hAnsi="Verdana"/>
          <w:color w:val="auto"/>
          <w:szCs w:val="18"/>
          <w:lang w:val="en-GB"/>
        </w:rPr>
      </w:pPr>
      <w:r w:rsidRPr="00FA5AE3">
        <w:rPr>
          <w:rFonts w:ascii="Verdana" w:hAnsi="Verdana"/>
          <w:color w:val="auto"/>
          <w:lang w:val="en-GB"/>
        </w:rPr>
        <w:t xml:space="preserve">Administrator – GPW Benchmark S.A. </w:t>
      </w:r>
    </w:p>
    <w:p w14:paraId="56A8F1D5" w14:textId="4C1659AB" w:rsidR="0092452F" w:rsidRPr="00FA5AE3" w:rsidRDefault="0092452F" w:rsidP="0092452F">
      <w:pPr>
        <w:pStyle w:val="Akapitzlist"/>
        <w:numPr>
          <w:ilvl w:val="0"/>
          <w:numId w:val="4"/>
        </w:numPr>
        <w:spacing w:after="0" w:line="360" w:lineRule="auto"/>
        <w:jc w:val="both"/>
        <w:rPr>
          <w:rFonts w:ascii="Verdana" w:hAnsi="Verdana"/>
          <w:color w:val="auto"/>
          <w:szCs w:val="18"/>
          <w:lang w:val="en-GB"/>
        </w:rPr>
      </w:pPr>
      <w:r w:rsidRPr="00FA5AE3">
        <w:rPr>
          <w:rFonts w:ascii="Verdana" w:hAnsi="Verdana"/>
          <w:color w:val="auto"/>
          <w:lang w:val="en-GB"/>
        </w:rPr>
        <w:t>Documentation – Rules, codes and/or other documents concerning the Benchmarks and</w:t>
      </w:r>
      <w:r w:rsidR="00FA5AE3">
        <w:rPr>
          <w:rFonts w:ascii="Verdana" w:hAnsi="Verdana"/>
          <w:color w:val="auto"/>
          <w:lang w:val="en-GB"/>
        </w:rPr>
        <w:t> </w:t>
      </w:r>
      <w:r w:rsidRPr="00FA5AE3">
        <w:rPr>
          <w:rFonts w:ascii="Verdana" w:hAnsi="Verdana"/>
          <w:color w:val="auto"/>
          <w:lang w:val="en-GB"/>
        </w:rPr>
        <w:t>related Benchmark Licences and/or Services, published in the current wording on</w:t>
      </w:r>
      <w:r w:rsidR="00FA5AE3">
        <w:rPr>
          <w:rFonts w:ascii="Verdana" w:hAnsi="Verdana"/>
          <w:color w:val="auto"/>
          <w:lang w:val="en-GB"/>
        </w:rPr>
        <w:t> </w:t>
      </w:r>
      <w:r w:rsidRPr="00FA5AE3">
        <w:rPr>
          <w:rFonts w:ascii="Verdana" w:hAnsi="Verdana"/>
          <w:color w:val="auto"/>
          <w:lang w:val="en-GB"/>
        </w:rPr>
        <w:t>the</w:t>
      </w:r>
      <w:r w:rsidR="00FA5AE3">
        <w:rPr>
          <w:rFonts w:ascii="Verdana" w:hAnsi="Verdana"/>
          <w:color w:val="auto"/>
          <w:lang w:val="en-GB"/>
        </w:rPr>
        <w:t> </w:t>
      </w:r>
      <w:r w:rsidRPr="00FA5AE3">
        <w:rPr>
          <w:rFonts w:ascii="Verdana" w:hAnsi="Verdana"/>
          <w:color w:val="auto"/>
          <w:lang w:val="en-GB"/>
        </w:rPr>
        <w:t>Administrator’s website at gpwbenchmark.pl, as amended from time to time by</w:t>
      </w:r>
      <w:r w:rsidR="00FA5AE3">
        <w:rPr>
          <w:rFonts w:ascii="Verdana" w:hAnsi="Verdana"/>
          <w:color w:val="auto"/>
          <w:lang w:val="en-GB"/>
        </w:rPr>
        <w:t> </w:t>
      </w:r>
      <w:r w:rsidRPr="00FA5AE3">
        <w:rPr>
          <w:rFonts w:ascii="Verdana" w:hAnsi="Verdana"/>
          <w:color w:val="auto"/>
          <w:lang w:val="en-GB"/>
        </w:rPr>
        <w:t>the</w:t>
      </w:r>
      <w:r w:rsidR="00FA5AE3">
        <w:rPr>
          <w:rFonts w:ascii="Verdana" w:hAnsi="Verdana"/>
          <w:color w:val="auto"/>
          <w:lang w:val="en-GB"/>
        </w:rPr>
        <w:t> </w:t>
      </w:r>
      <w:r w:rsidRPr="00FA5AE3">
        <w:rPr>
          <w:rFonts w:ascii="Verdana" w:hAnsi="Verdana"/>
          <w:color w:val="auto"/>
          <w:lang w:val="en-GB"/>
        </w:rPr>
        <w:t>Administrator;</w:t>
      </w:r>
    </w:p>
    <w:p w14:paraId="2A524B54" w14:textId="5C3E3339" w:rsidR="0092452F" w:rsidRPr="00FA5AE3" w:rsidRDefault="0092452F" w:rsidP="0092452F">
      <w:pPr>
        <w:pStyle w:val="Akapitzlist"/>
        <w:numPr>
          <w:ilvl w:val="0"/>
          <w:numId w:val="4"/>
        </w:numPr>
        <w:spacing w:after="0" w:line="360" w:lineRule="auto"/>
        <w:rPr>
          <w:rFonts w:ascii="Verdana" w:hAnsi="Verdana"/>
          <w:color w:val="auto"/>
          <w:szCs w:val="18"/>
          <w:lang w:val="en-GB"/>
        </w:rPr>
      </w:pPr>
      <w:r w:rsidRPr="00FA5AE3">
        <w:rPr>
          <w:rFonts w:ascii="Verdana" w:hAnsi="Verdana"/>
          <w:color w:val="auto"/>
          <w:lang w:val="en-GB"/>
        </w:rPr>
        <w:t>Issuer – an entity listed in Article 2 of the Act on Bonds;</w:t>
      </w:r>
    </w:p>
    <w:p w14:paraId="32208BEA" w14:textId="05AEFADA" w:rsidR="0092452F" w:rsidRPr="00FA5AE3" w:rsidRDefault="0092452F" w:rsidP="0092452F">
      <w:pPr>
        <w:pStyle w:val="Akapitzlist"/>
        <w:numPr>
          <w:ilvl w:val="0"/>
          <w:numId w:val="4"/>
        </w:numPr>
        <w:spacing w:after="0" w:line="360" w:lineRule="auto"/>
        <w:jc w:val="both"/>
        <w:rPr>
          <w:rFonts w:ascii="Verdana" w:hAnsi="Verdana"/>
          <w:color w:val="auto"/>
          <w:szCs w:val="18"/>
          <w:lang w:val="en-GB"/>
        </w:rPr>
      </w:pPr>
      <w:r w:rsidRPr="00FA5AE3">
        <w:rPr>
          <w:rFonts w:ascii="Verdana" w:hAnsi="Verdana"/>
          <w:color w:val="auto"/>
          <w:lang w:val="en-GB"/>
        </w:rPr>
        <w:t xml:space="preserve">Issuing Agent – an entity referred to in Article 7a of the Trading Act or an entity which operates as a counterpart of such an entity under provisions of foreign law; </w:t>
      </w:r>
    </w:p>
    <w:p w14:paraId="25A464E7" w14:textId="77777777" w:rsidR="0092452F" w:rsidRPr="00FA5AE3" w:rsidRDefault="0092452F" w:rsidP="0092452F">
      <w:pPr>
        <w:pStyle w:val="Akapitzlist"/>
        <w:numPr>
          <w:ilvl w:val="0"/>
          <w:numId w:val="4"/>
        </w:numPr>
        <w:spacing w:after="0" w:line="360" w:lineRule="auto"/>
        <w:rPr>
          <w:rFonts w:ascii="Verdana" w:hAnsi="Verdana"/>
          <w:color w:val="auto"/>
          <w:szCs w:val="18"/>
          <w:lang w:val="en-GB"/>
        </w:rPr>
      </w:pPr>
      <w:r w:rsidRPr="00FA5AE3">
        <w:rPr>
          <w:rFonts w:ascii="Verdana" w:hAnsi="Verdana"/>
          <w:color w:val="auto"/>
          <w:lang w:val="en-GB"/>
        </w:rPr>
        <w:t>Licensee – Issuer;</w:t>
      </w:r>
    </w:p>
    <w:p w14:paraId="2EBFC40A" w14:textId="5A952104" w:rsidR="0092452F" w:rsidRPr="00FA5AE3" w:rsidRDefault="0092452F" w:rsidP="0092452F">
      <w:pPr>
        <w:pStyle w:val="Akapitzlist"/>
        <w:numPr>
          <w:ilvl w:val="0"/>
          <w:numId w:val="4"/>
        </w:numPr>
        <w:spacing w:after="0" w:line="360" w:lineRule="auto"/>
        <w:jc w:val="both"/>
        <w:rPr>
          <w:rFonts w:ascii="Verdana" w:hAnsi="Verdana"/>
          <w:color w:val="auto"/>
          <w:szCs w:val="18"/>
          <w:lang w:val="en-GB"/>
        </w:rPr>
      </w:pPr>
      <w:r w:rsidRPr="00FA5AE3">
        <w:rPr>
          <w:rFonts w:ascii="Verdana" w:hAnsi="Verdana"/>
          <w:color w:val="auto"/>
          <w:lang w:val="en-GB"/>
        </w:rPr>
        <w:t xml:space="preserve">Licence and Service List – Appendix 1 to these Rules which lists the Licences and Services which may be granted and provided by the Administrator, as amended from time to time </w:t>
      </w:r>
      <w:r w:rsidRPr="00FA5AE3">
        <w:rPr>
          <w:rFonts w:ascii="Verdana" w:hAnsi="Verdana"/>
          <w:color w:val="auto"/>
          <w:lang w:val="en-GB"/>
        </w:rPr>
        <w:lastRenderedPageBreak/>
        <w:t xml:space="preserve">unilaterally by the Administrator upon the terms </w:t>
      </w:r>
      <w:r w:rsidR="00F1283D">
        <w:rPr>
          <w:rFonts w:ascii="Verdana" w:hAnsi="Verdana"/>
          <w:color w:val="auto"/>
          <w:lang w:val="en-GB"/>
        </w:rPr>
        <w:t xml:space="preserve">and conditions </w:t>
      </w:r>
      <w:r w:rsidRPr="00FA5AE3">
        <w:rPr>
          <w:rFonts w:ascii="Verdana" w:hAnsi="Verdana"/>
          <w:color w:val="auto"/>
          <w:lang w:val="en-GB"/>
        </w:rPr>
        <w:t>of these Rules and</w:t>
      </w:r>
      <w:r w:rsidR="00F1283D">
        <w:rPr>
          <w:rFonts w:ascii="Verdana" w:hAnsi="Verdana"/>
          <w:color w:val="auto"/>
          <w:lang w:val="en-GB"/>
        </w:rPr>
        <w:t> </w:t>
      </w:r>
      <w:r w:rsidRPr="00FA5AE3">
        <w:rPr>
          <w:rFonts w:ascii="Verdana" w:hAnsi="Verdana"/>
          <w:color w:val="auto"/>
          <w:lang w:val="en-GB"/>
        </w:rPr>
        <w:t>published in the current wording on the Administrator’s website: gpwbenchmark.pl;</w:t>
      </w:r>
    </w:p>
    <w:p w14:paraId="0DD09079" w14:textId="454FE11E" w:rsidR="0092452F" w:rsidRPr="00FA5AE3" w:rsidRDefault="0092452F" w:rsidP="0092452F">
      <w:pPr>
        <w:pStyle w:val="Akapitzlist"/>
        <w:numPr>
          <w:ilvl w:val="0"/>
          <w:numId w:val="4"/>
        </w:numPr>
        <w:spacing w:after="0" w:line="360" w:lineRule="auto"/>
        <w:jc w:val="both"/>
        <w:rPr>
          <w:rFonts w:ascii="Verdana" w:hAnsi="Verdana"/>
          <w:color w:val="auto"/>
          <w:szCs w:val="18"/>
          <w:lang w:val="en-GB"/>
        </w:rPr>
      </w:pPr>
      <w:r w:rsidRPr="00FA5AE3">
        <w:rPr>
          <w:rFonts w:ascii="Verdana" w:hAnsi="Verdana"/>
          <w:color w:val="auto"/>
          <w:lang w:val="en-GB"/>
        </w:rPr>
        <w:t>Debt Securities – financial instruments which represent the commitment of an issuer to</w:t>
      </w:r>
      <w:r w:rsidR="00F1283D">
        <w:rPr>
          <w:rFonts w:ascii="Verdana" w:hAnsi="Verdana"/>
          <w:color w:val="auto"/>
          <w:lang w:val="en-GB"/>
        </w:rPr>
        <w:t> </w:t>
      </w:r>
      <w:r w:rsidRPr="00FA5AE3">
        <w:rPr>
          <w:rFonts w:ascii="Verdana" w:hAnsi="Verdana"/>
          <w:color w:val="auto"/>
          <w:lang w:val="en-GB"/>
        </w:rPr>
        <w:t>repay a specific principal amount, together with interest, at a fixed date, in particular bonds (incl</w:t>
      </w:r>
      <w:r w:rsidR="00FA5AE3">
        <w:rPr>
          <w:rFonts w:ascii="Verdana" w:hAnsi="Verdana"/>
          <w:color w:val="auto"/>
          <w:lang w:val="en-GB"/>
        </w:rPr>
        <w:t>uding</w:t>
      </w:r>
      <w:r w:rsidRPr="00FA5AE3">
        <w:rPr>
          <w:rFonts w:ascii="Verdana" w:hAnsi="Verdana"/>
          <w:color w:val="auto"/>
          <w:lang w:val="en-GB"/>
        </w:rPr>
        <w:t xml:space="preserve"> contingent convertible bonds, CoCos), and other transferable securities which incorporate property rights equivalent to rights arising from borrowed debt;</w:t>
      </w:r>
    </w:p>
    <w:p w14:paraId="15432775" w14:textId="55D4A25F" w:rsidR="0092452F" w:rsidRPr="00FA5AE3" w:rsidRDefault="0092452F" w:rsidP="0092452F">
      <w:pPr>
        <w:pStyle w:val="Akapitzlist"/>
        <w:numPr>
          <w:ilvl w:val="0"/>
          <w:numId w:val="4"/>
        </w:numPr>
        <w:spacing w:after="0" w:line="360" w:lineRule="auto"/>
        <w:jc w:val="both"/>
        <w:rPr>
          <w:rFonts w:ascii="Verdana" w:hAnsi="Verdana"/>
          <w:color w:val="auto"/>
          <w:szCs w:val="18"/>
          <w:lang w:val="en-GB"/>
        </w:rPr>
      </w:pPr>
      <w:r w:rsidRPr="00FA5AE3">
        <w:rPr>
          <w:rFonts w:ascii="Verdana" w:hAnsi="Verdana"/>
          <w:color w:val="auto"/>
          <w:lang w:val="en-GB"/>
        </w:rPr>
        <w:t>Fees – fees and amounts due from the Issuer and/or an issuing agent acting on behalf of</w:t>
      </w:r>
      <w:r w:rsidR="00FA5AE3">
        <w:rPr>
          <w:rFonts w:ascii="Verdana" w:hAnsi="Verdana"/>
          <w:color w:val="auto"/>
          <w:lang w:val="en-GB"/>
        </w:rPr>
        <w:t> </w:t>
      </w:r>
      <w:r w:rsidRPr="00FA5AE3">
        <w:rPr>
          <w:rFonts w:ascii="Verdana" w:hAnsi="Verdana"/>
          <w:color w:val="auto"/>
          <w:lang w:val="en-GB"/>
        </w:rPr>
        <w:t>the Issuer in respect of a granted licence for the use and application of Benchmarks in</w:t>
      </w:r>
      <w:r w:rsidR="00FA5AE3">
        <w:rPr>
          <w:rFonts w:ascii="Verdana" w:hAnsi="Verdana"/>
          <w:color w:val="auto"/>
          <w:lang w:val="en-GB"/>
        </w:rPr>
        <w:t> </w:t>
      </w:r>
      <w:r w:rsidRPr="00FA5AE3">
        <w:rPr>
          <w:rFonts w:ascii="Verdana" w:hAnsi="Verdana"/>
          <w:color w:val="auto"/>
          <w:lang w:val="en-GB"/>
        </w:rPr>
        <w:t>debt securities, charged and paid upon the terms and conditions set forth in these Rules;</w:t>
      </w:r>
    </w:p>
    <w:p w14:paraId="4C4D8181" w14:textId="5F265082" w:rsidR="0092452F" w:rsidRPr="00FA5AE3" w:rsidRDefault="0092452F" w:rsidP="0092452F">
      <w:pPr>
        <w:pStyle w:val="Akapitzlist"/>
        <w:numPr>
          <w:ilvl w:val="0"/>
          <w:numId w:val="4"/>
        </w:numPr>
        <w:spacing w:after="0" w:line="360" w:lineRule="auto"/>
        <w:jc w:val="both"/>
        <w:rPr>
          <w:rFonts w:ascii="Verdana" w:hAnsi="Verdana"/>
          <w:color w:val="auto"/>
          <w:szCs w:val="18"/>
          <w:lang w:val="en-GB"/>
        </w:rPr>
      </w:pPr>
      <w:r w:rsidRPr="00FA5AE3">
        <w:rPr>
          <w:rFonts w:ascii="Verdana" w:hAnsi="Verdana"/>
          <w:color w:val="auto"/>
          <w:lang w:val="en-GB"/>
        </w:rPr>
        <w:t>Benchmark Regulation – Regulation (EU) 2016/1011 of the European Parliament and</w:t>
      </w:r>
      <w:r w:rsidR="00FA5AE3">
        <w:rPr>
          <w:rFonts w:ascii="Verdana" w:hAnsi="Verdana"/>
          <w:color w:val="auto"/>
          <w:lang w:val="en-GB"/>
        </w:rPr>
        <w:t> </w:t>
      </w:r>
      <w:r w:rsidRPr="00FA5AE3">
        <w:rPr>
          <w:rFonts w:ascii="Verdana" w:hAnsi="Verdana"/>
          <w:color w:val="auto"/>
          <w:lang w:val="en-GB"/>
        </w:rPr>
        <w:t>of</w:t>
      </w:r>
      <w:r w:rsidR="00FA5AE3">
        <w:rPr>
          <w:rFonts w:ascii="Verdana" w:hAnsi="Verdana"/>
          <w:color w:val="auto"/>
          <w:lang w:val="en-GB"/>
        </w:rPr>
        <w:t> </w:t>
      </w:r>
      <w:r w:rsidRPr="00FA5AE3">
        <w:rPr>
          <w:rFonts w:ascii="Verdana" w:hAnsi="Verdana"/>
          <w:color w:val="auto"/>
          <w:lang w:val="en-GB"/>
        </w:rPr>
        <w:t>the</w:t>
      </w:r>
      <w:r w:rsidR="00FA5AE3">
        <w:rPr>
          <w:rFonts w:ascii="Verdana" w:hAnsi="Verdana"/>
          <w:color w:val="auto"/>
          <w:lang w:val="en-GB"/>
        </w:rPr>
        <w:t> </w:t>
      </w:r>
      <w:r w:rsidRPr="00FA5AE3">
        <w:rPr>
          <w:rFonts w:ascii="Verdana" w:hAnsi="Verdana"/>
          <w:color w:val="auto"/>
          <w:lang w:val="en-GB"/>
        </w:rPr>
        <w:t>Council of 8 June 2016 on indices used as benchmarks in financial instruments and financial contracts or to measure the performance of investment funds and amending Directives 2008/48/EC and 2014/17/EU and Regulation (EU) No</w:t>
      </w:r>
      <w:r w:rsidR="00FA5AE3">
        <w:rPr>
          <w:rFonts w:ascii="Verdana" w:hAnsi="Verdana"/>
          <w:color w:val="auto"/>
          <w:lang w:val="en-GB"/>
        </w:rPr>
        <w:t>.</w:t>
      </w:r>
      <w:r w:rsidRPr="00FA5AE3">
        <w:rPr>
          <w:rFonts w:ascii="Verdana" w:hAnsi="Verdana"/>
          <w:color w:val="auto"/>
          <w:lang w:val="en-GB"/>
        </w:rPr>
        <w:t xml:space="preserve"> 596/2014;</w:t>
      </w:r>
    </w:p>
    <w:p w14:paraId="546E0F13" w14:textId="6AC64246" w:rsidR="0092452F" w:rsidRPr="00FA5AE3" w:rsidRDefault="0092452F" w:rsidP="0092452F">
      <w:pPr>
        <w:pStyle w:val="Akapitzlist"/>
        <w:numPr>
          <w:ilvl w:val="0"/>
          <w:numId w:val="4"/>
        </w:numPr>
        <w:spacing w:after="0" w:line="360" w:lineRule="auto"/>
        <w:jc w:val="both"/>
        <w:rPr>
          <w:rFonts w:ascii="Verdana" w:hAnsi="Verdana"/>
          <w:color w:val="auto"/>
          <w:szCs w:val="18"/>
          <w:lang w:val="en-GB"/>
        </w:rPr>
      </w:pPr>
      <w:r w:rsidRPr="00FA5AE3">
        <w:rPr>
          <w:rFonts w:ascii="Verdana" w:hAnsi="Verdana"/>
          <w:color w:val="auto"/>
          <w:lang w:val="en-GB"/>
        </w:rPr>
        <w:t>Fee Schedule – Appendix 2 to the Rules, containing the list of Fees, as amended from time to time unilaterally by the Administrator upon the terms and conditions set forth in these Rules, published in the current wording on the Administrator’s website</w:t>
      </w:r>
      <w:r w:rsidR="00FA5AE3">
        <w:rPr>
          <w:rFonts w:ascii="Verdana" w:hAnsi="Verdana"/>
          <w:color w:val="auto"/>
          <w:lang w:val="en-GB"/>
        </w:rPr>
        <w:t xml:space="preserve"> at </w:t>
      </w:r>
      <w:r w:rsidRPr="00FA5AE3">
        <w:rPr>
          <w:rFonts w:ascii="Verdana" w:hAnsi="Verdana"/>
          <w:color w:val="auto"/>
          <w:lang w:val="en-GB"/>
        </w:rPr>
        <w:t>gpwbenchmark.pl;</w:t>
      </w:r>
    </w:p>
    <w:p w14:paraId="1D45243F" w14:textId="367FB666" w:rsidR="0092452F" w:rsidRPr="00FA5AE3" w:rsidRDefault="0092452F" w:rsidP="0092452F">
      <w:pPr>
        <w:pStyle w:val="Akapitzlist"/>
        <w:numPr>
          <w:ilvl w:val="0"/>
          <w:numId w:val="4"/>
        </w:numPr>
        <w:spacing w:after="0" w:line="360" w:lineRule="auto"/>
        <w:jc w:val="both"/>
        <w:rPr>
          <w:rFonts w:ascii="Verdana" w:hAnsi="Verdana"/>
          <w:color w:val="auto"/>
          <w:szCs w:val="18"/>
          <w:lang w:val="en-GB"/>
        </w:rPr>
      </w:pPr>
      <w:r w:rsidRPr="00FA5AE3">
        <w:rPr>
          <w:rFonts w:ascii="Verdana" w:hAnsi="Verdana"/>
          <w:color w:val="auto"/>
          <w:lang w:val="en-GB"/>
        </w:rPr>
        <w:t xml:space="preserve">Act on Bonds – </w:t>
      </w:r>
      <w:r w:rsidR="006A25CF">
        <w:rPr>
          <w:rFonts w:ascii="Verdana" w:hAnsi="Verdana"/>
          <w:color w:val="auto"/>
          <w:lang w:val="en-GB"/>
        </w:rPr>
        <w:t xml:space="preserve">Polish </w:t>
      </w:r>
      <w:r w:rsidRPr="00FA5AE3">
        <w:rPr>
          <w:rFonts w:ascii="Verdana" w:hAnsi="Verdana"/>
          <w:color w:val="auto"/>
          <w:lang w:val="en-GB"/>
        </w:rPr>
        <w:t xml:space="preserve">Act on Bonds of 15 January 2015 (Polish: </w:t>
      </w:r>
      <w:r w:rsidRPr="00FA5AE3">
        <w:rPr>
          <w:rFonts w:ascii="Verdana" w:hAnsi="Verdana"/>
          <w:i/>
          <w:iCs/>
          <w:color w:val="auto"/>
          <w:lang w:val="en-GB"/>
        </w:rPr>
        <w:t>ustawa o obligacjach</w:t>
      </w:r>
      <w:r w:rsidRPr="00FA5AE3">
        <w:rPr>
          <w:rFonts w:ascii="Verdana" w:hAnsi="Verdana"/>
          <w:color w:val="auto"/>
          <w:lang w:val="en-GB"/>
        </w:rPr>
        <w:t>, references to Polish Journal of Laws: Dz.U. z 2024 r., poz. 708, as amended);</w:t>
      </w:r>
      <w:r w:rsidR="00E73FFE">
        <w:rPr>
          <w:rFonts w:ascii="Verdana" w:hAnsi="Verdana"/>
          <w:color w:val="auto"/>
          <w:lang w:val="en-GB"/>
        </w:rPr>
        <w:t xml:space="preserve"> </w:t>
      </w:r>
    </w:p>
    <w:p w14:paraId="008C3E49" w14:textId="247C0E9F" w:rsidR="0092452F" w:rsidRPr="00FA5AE3" w:rsidRDefault="0092452F" w:rsidP="0092452F">
      <w:pPr>
        <w:pStyle w:val="Akapitzlist"/>
        <w:numPr>
          <w:ilvl w:val="0"/>
          <w:numId w:val="4"/>
        </w:numPr>
        <w:spacing w:after="0" w:line="360" w:lineRule="auto"/>
        <w:jc w:val="both"/>
        <w:rPr>
          <w:rFonts w:ascii="Verdana" w:hAnsi="Verdana"/>
          <w:color w:val="auto"/>
          <w:szCs w:val="18"/>
          <w:lang w:val="en-GB"/>
        </w:rPr>
      </w:pPr>
      <w:r w:rsidRPr="00FA5AE3">
        <w:rPr>
          <w:rFonts w:ascii="Verdana" w:hAnsi="Verdana"/>
          <w:color w:val="auto"/>
          <w:lang w:val="en-GB"/>
        </w:rPr>
        <w:t xml:space="preserve">Trading Act – </w:t>
      </w:r>
      <w:r w:rsidR="006A25CF">
        <w:rPr>
          <w:rFonts w:ascii="Verdana" w:hAnsi="Verdana"/>
          <w:color w:val="auto"/>
          <w:lang w:val="en-GB"/>
        </w:rPr>
        <w:t xml:space="preserve">Polish </w:t>
      </w:r>
      <w:r w:rsidRPr="00FA5AE3">
        <w:rPr>
          <w:rFonts w:ascii="Verdana" w:hAnsi="Verdana"/>
          <w:color w:val="auto"/>
          <w:lang w:val="en-GB"/>
        </w:rPr>
        <w:t xml:space="preserve">Act on Trading in Financial Instruments of 29 July 2005 (Polish: </w:t>
      </w:r>
      <w:r w:rsidRPr="00FA5AE3">
        <w:rPr>
          <w:rFonts w:ascii="Verdana" w:hAnsi="Verdana"/>
          <w:i/>
          <w:iCs/>
          <w:color w:val="auto"/>
          <w:lang w:val="en-GB"/>
        </w:rPr>
        <w:t>ustawa o obrocie</w:t>
      </w:r>
      <w:r w:rsidRPr="00FA5AE3">
        <w:rPr>
          <w:rFonts w:ascii="Verdana" w:hAnsi="Verdana"/>
          <w:color w:val="auto"/>
          <w:lang w:val="en-GB"/>
        </w:rPr>
        <w:t>, references to Polish Journal of Law</w:t>
      </w:r>
      <w:r w:rsidR="00F1283D">
        <w:rPr>
          <w:rFonts w:ascii="Verdana" w:hAnsi="Verdana"/>
          <w:color w:val="auto"/>
          <w:lang w:val="en-GB"/>
        </w:rPr>
        <w:t>s</w:t>
      </w:r>
      <w:r w:rsidRPr="00FA5AE3">
        <w:rPr>
          <w:rFonts w:ascii="Verdana" w:hAnsi="Verdana"/>
          <w:color w:val="auto"/>
          <w:lang w:val="en-GB"/>
        </w:rPr>
        <w:t>: Dz.U. z 2024 r., poz. 722, as amended);</w:t>
      </w:r>
      <w:r w:rsidR="00E73FFE">
        <w:rPr>
          <w:rFonts w:ascii="Verdana" w:hAnsi="Verdana"/>
          <w:color w:val="auto"/>
          <w:lang w:val="en-GB"/>
        </w:rPr>
        <w:t xml:space="preserve"> </w:t>
      </w:r>
    </w:p>
    <w:p w14:paraId="1F3E2F3E" w14:textId="048422F8" w:rsidR="0092452F" w:rsidRPr="00FA5AE3" w:rsidRDefault="0092452F" w:rsidP="0092452F">
      <w:pPr>
        <w:pStyle w:val="Akapitzlist"/>
        <w:numPr>
          <w:ilvl w:val="0"/>
          <w:numId w:val="4"/>
        </w:numPr>
        <w:spacing w:after="0" w:line="360" w:lineRule="auto"/>
        <w:jc w:val="both"/>
        <w:rPr>
          <w:rFonts w:ascii="Verdana" w:hAnsi="Verdana"/>
          <w:color w:val="auto"/>
          <w:szCs w:val="18"/>
          <w:lang w:val="en-GB"/>
        </w:rPr>
      </w:pPr>
      <w:r w:rsidRPr="00FA5AE3">
        <w:rPr>
          <w:rFonts w:ascii="Verdana" w:hAnsi="Verdana"/>
          <w:color w:val="auto"/>
          <w:lang w:val="en-GB"/>
        </w:rPr>
        <w:t>Rules – these Rules for Granting Licences for the Use and Apply of Benchmark Indices in</w:t>
      </w:r>
      <w:r w:rsidR="006A25CF">
        <w:rPr>
          <w:rFonts w:ascii="Verdana" w:hAnsi="Verdana"/>
          <w:color w:val="auto"/>
          <w:lang w:val="en-GB"/>
        </w:rPr>
        <w:t> </w:t>
      </w:r>
      <w:r w:rsidRPr="00FA5AE3">
        <w:rPr>
          <w:rFonts w:ascii="Verdana" w:hAnsi="Verdana"/>
          <w:color w:val="auto"/>
          <w:lang w:val="en-GB"/>
        </w:rPr>
        <w:t>Debt Securities;</w:t>
      </w:r>
    </w:p>
    <w:p w14:paraId="2FA72442" w14:textId="77777777" w:rsidR="0092452F" w:rsidRPr="00FA5AE3" w:rsidRDefault="0092452F" w:rsidP="0092452F">
      <w:pPr>
        <w:pStyle w:val="Akapitzlist"/>
        <w:numPr>
          <w:ilvl w:val="0"/>
          <w:numId w:val="4"/>
        </w:numPr>
        <w:spacing w:after="0" w:line="360" w:lineRule="auto"/>
        <w:jc w:val="both"/>
        <w:rPr>
          <w:rFonts w:ascii="Verdana" w:hAnsi="Verdana"/>
          <w:color w:val="auto"/>
          <w:szCs w:val="18"/>
          <w:lang w:val="en-GB"/>
        </w:rPr>
      </w:pPr>
      <w:r w:rsidRPr="00FA5AE3">
        <w:rPr>
          <w:rFonts w:ascii="Verdana" w:hAnsi="Verdana"/>
          <w:color w:val="auto"/>
          <w:lang w:val="en-GB"/>
        </w:rPr>
        <w:t xml:space="preserve">Benchmark – a benchmark as defined in Article 3(1)(3) of the Benchmark Regulation, provided by the Administrator, acting as an administrator, upon the terms and conditions of the Benchmark Documentation and in accordance with generally applicable law. </w:t>
      </w:r>
    </w:p>
    <w:p w14:paraId="3A26C8F0" w14:textId="77777777" w:rsidR="0092452F" w:rsidRPr="00FA5AE3" w:rsidRDefault="0092452F" w:rsidP="0092452F">
      <w:pPr>
        <w:spacing w:after="0" w:line="360" w:lineRule="auto"/>
        <w:jc w:val="both"/>
        <w:rPr>
          <w:rFonts w:ascii="Verdana" w:hAnsi="Verdana"/>
          <w:color w:val="auto"/>
          <w:szCs w:val="18"/>
          <w:lang w:val="en-GB"/>
        </w:rPr>
      </w:pPr>
    </w:p>
    <w:p w14:paraId="7CF76FEB" w14:textId="77777777" w:rsidR="0092452F" w:rsidRPr="00FA5AE3" w:rsidRDefault="0092452F" w:rsidP="0092452F">
      <w:pPr>
        <w:spacing w:after="0" w:line="360" w:lineRule="auto"/>
        <w:jc w:val="center"/>
        <w:rPr>
          <w:rFonts w:ascii="Verdana" w:hAnsi="Verdana"/>
          <w:b/>
          <w:bCs/>
          <w:color w:val="auto"/>
          <w:szCs w:val="18"/>
          <w:lang w:val="en-GB"/>
        </w:rPr>
      </w:pPr>
      <w:r w:rsidRPr="00FA5AE3">
        <w:rPr>
          <w:rFonts w:ascii="Verdana" w:hAnsi="Verdana"/>
          <w:b/>
          <w:color w:val="auto"/>
          <w:lang w:val="en-GB"/>
        </w:rPr>
        <w:t>§ 3</w:t>
      </w:r>
    </w:p>
    <w:p w14:paraId="3B8D92E4" w14:textId="77777777" w:rsidR="0092452F" w:rsidRPr="00FA5AE3" w:rsidRDefault="0092452F" w:rsidP="0092452F">
      <w:pPr>
        <w:spacing w:after="0" w:line="360" w:lineRule="auto"/>
        <w:jc w:val="center"/>
        <w:rPr>
          <w:rFonts w:ascii="Verdana" w:hAnsi="Verdana"/>
          <w:b/>
          <w:bCs/>
          <w:color w:val="auto"/>
          <w:szCs w:val="18"/>
          <w:lang w:val="en-GB"/>
        </w:rPr>
      </w:pPr>
      <w:r w:rsidRPr="00FA5AE3">
        <w:rPr>
          <w:rFonts w:ascii="Verdana" w:hAnsi="Verdana"/>
          <w:b/>
          <w:color w:val="auto"/>
          <w:lang w:val="en-GB"/>
        </w:rPr>
        <w:t>Benchmark Using and Applying Licence</w:t>
      </w:r>
    </w:p>
    <w:p w14:paraId="41490CDE" w14:textId="0F338C8C" w:rsidR="0092452F" w:rsidRPr="00FA5AE3" w:rsidRDefault="0092452F" w:rsidP="0092452F">
      <w:pPr>
        <w:pStyle w:val="Akapitzlist"/>
        <w:numPr>
          <w:ilvl w:val="0"/>
          <w:numId w:val="5"/>
        </w:numPr>
        <w:spacing w:after="0" w:line="360" w:lineRule="auto"/>
        <w:jc w:val="both"/>
        <w:rPr>
          <w:rFonts w:ascii="Verdana" w:hAnsi="Verdana"/>
          <w:color w:val="auto"/>
          <w:szCs w:val="18"/>
          <w:lang w:val="en-GB"/>
        </w:rPr>
      </w:pPr>
      <w:r w:rsidRPr="00FA5AE3">
        <w:rPr>
          <w:rFonts w:ascii="Verdana" w:hAnsi="Verdana"/>
          <w:color w:val="auto"/>
          <w:lang w:val="en-GB"/>
        </w:rPr>
        <w:t xml:space="preserve">For the purpose of acquiring a Benchmark using and applying licence, the </w:t>
      </w:r>
      <w:r w:rsidR="00FA5AE3">
        <w:rPr>
          <w:rFonts w:ascii="Verdana" w:hAnsi="Verdana"/>
          <w:color w:val="auto"/>
          <w:lang w:val="en-GB"/>
        </w:rPr>
        <w:t>Licensee</w:t>
      </w:r>
      <w:r w:rsidRPr="00FA5AE3">
        <w:rPr>
          <w:rFonts w:ascii="Verdana" w:hAnsi="Verdana"/>
          <w:color w:val="auto"/>
          <w:lang w:val="en-GB"/>
        </w:rPr>
        <w:t xml:space="preserve"> shall complete and submit a Statement, in accordance with Appendix 1 to these Rules, to</w:t>
      </w:r>
      <w:r w:rsidR="006A25CF">
        <w:rPr>
          <w:rFonts w:ascii="Verdana" w:hAnsi="Verdana"/>
          <w:color w:val="auto"/>
          <w:lang w:val="en-GB"/>
        </w:rPr>
        <w:t> </w:t>
      </w:r>
      <w:r w:rsidRPr="00FA5AE3">
        <w:rPr>
          <w:rFonts w:ascii="Verdana" w:hAnsi="Verdana"/>
          <w:color w:val="auto"/>
          <w:lang w:val="en-GB"/>
        </w:rPr>
        <w:t>the</w:t>
      </w:r>
      <w:r w:rsidR="006A25CF">
        <w:rPr>
          <w:rFonts w:ascii="Verdana" w:hAnsi="Verdana"/>
          <w:color w:val="auto"/>
          <w:lang w:val="en-GB"/>
        </w:rPr>
        <w:t> </w:t>
      </w:r>
      <w:r w:rsidRPr="00FA5AE3">
        <w:rPr>
          <w:rFonts w:ascii="Verdana" w:hAnsi="Verdana"/>
          <w:color w:val="auto"/>
          <w:lang w:val="en-GB"/>
        </w:rPr>
        <w:t xml:space="preserve">address: </w:t>
      </w:r>
      <w:hyperlink r:id="rId7" w:history="1">
        <w:r w:rsidRPr="00FA5AE3">
          <w:rPr>
            <w:rStyle w:val="Hipercze"/>
            <w:rFonts w:ascii="Verdana" w:hAnsi="Verdana"/>
            <w:color w:val="auto"/>
            <w:lang w:val="en-GB"/>
          </w:rPr>
          <w:t>licencje@gpwbenchmark.pl</w:t>
        </w:r>
      </w:hyperlink>
      <w:r w:rsidRPr="00FA5AE3">
        <w:rPr>
          <w:rFonts w:ascii="Verdana" w:hAnsi="Verdana"/>
          <w:color w:val="auto"/>
          <w:lang w:val="en-GB"/>
        </w:rPr>
        <w:t xml:space="preserve">. </w:t>
      </w:r>
    </w:p>
    <w:p w14:paraId="2A7F8AE6" w14:textId="16102AEB" w:rsidR="0092452F" w:rsidRPr="00FA5AE3" w:rsidRDefault="0092452F" w:rsidP="0092452F">
      <w:pPr>
        <w:pStyle w:val="Akapitzlist"/>
        <w:numPr>
          <w:ilvl w:val="0"/>
          <w:numId w:val="5"/>
        </w:numPr>
        <w:spacing w:after="0" w:line="360" w:lineRule="auto"/>
        <w:jc w:val="both"/>
        <w:rPr>
          <w:rFonts w:ascii="Verdana" w:hAnsi="Verdana"/>
          <w:color w:val="auto"/>
          <w:szCs w:val="18"/>
          <w:lang w:val="en-GB"/>
        </w:rPr>
      </w:pPr>
      <w:r w:rsidRPr="00FA5AE3">
        <w:rPr>
          <w:rFonts w:ascii="Verdana" w:hAnsi="Verdana"/>
          <w:color w:val="auto"/>
          <w:lang w:val="en-GB"/>
        </w:rPr>
        <w:t xml:space="preserve"> Upon submitting the Statement, the </w:t>
      </w:r>
      <w:r w:rsidR="00FA5AE3">
        <w:rPr>
          <w:rFonts w:ascii="Verdana" w:hAnsi="Verdana"/>
          <w:color w:val="auto"/>
          <w:lang w:val="en-GB"/>
        </w:rPr>
        <w:t>Licensee</w:t>
      </w:r>
      <w:r w:rsidRPr="00FA5AE3">
        <w:rPr>
          <w:rFonts w:ascii="Verdana" w:hAnsi="Verdana"/>
          <w:color w:val="auto"/>
          <w:lang w:val="en-GB"/>
        </w:rPr>
        <w:t xml:space="preserve"> undertakes to:</w:t>
      </w:r>
    </w:p>
    <w:p w14:paraId="7A0062C2" w14:textId="6AC4D6F8" w:rsidR="0092452F" w:rsidRPr="00FA5AE3" w:rsidRDefault="0092452F" w:rsidP="0092452F">
      <w:pPr>
        <w:pStyle w:val="Akapitzlist"/>
        <w:numPr>
          <w:ilvl w:val="0"/>
          <w:numId w:val="12"/>
        </w:numPr>
        <w:spacing w:after="0" w:line="360" w:lineRule="auto"/>
        <w:jc w:val="both"/>
        <w:rPr>
          <w:rFonts w:ascii="Verdana" w:hAnsi="Verdana"/>
          <w:color w:val="auto"/>
          <w:szCs w:val="18"/>
          <w:lang w:val="en-GB"/>
        </w:rPr>
      </w:pPr>
      <w:r w:rsidRPr="00FA5AE3">
        <w:rPr>
          <w:rFonts w:ascii="Verdana" w:hAnsi="Verdana"/>
          <w:color w:val="auto"/>
          <w:lang w:val="en-GB"/>
        </w:rPr>
        <w:t>fairly present the Benchmarks, whenever possible expressly naming the Administrator as</w:t>
      </w:r>
      <w:r w:rsidR="006A25CF">
        <w:rPr>
          <w:rFonts w:ascii="Verdana" w:hAnsi="Verdana"/>
          <w:color w:val="auto"/>
          <w:lang w:val="en-GB"/>
        </w:rPr>
        <w:t> </w:t>
      </w:r>
      <w:r w:rsidRPr="00FA5AE3">
        <w:rPr>
          <w:rFonts w:ascii="Verdana" w:hAnsi="Verdana"/>
          <w:color w:val="auto"/>
          <w:lang w:val="en-GB"/>
        </w:rPr>
        <w:t>the Benchmark administrator and describing the Benchmark method,</w:t>
      </w:r>
    </w:p>
    <w:p w14:paraId="7BD99812" w14:textId="0078BC84" w:rsidR="0092452F" w:rsidRPr="00FA5AE3" w:rsidRDefault="0092452F" w:rsidP="0092452F">
      <w:pPr>
        <w:pStyle w:val="Akapitzlist"/>
        <w:numPr>
          <w:ilvl w:val="0"/>
          <w:numId w:val="12"/>
        </w:numPr>
        <w:spacing w:after="0" w:line="360" w:lineRule="auto"/>
        <w:jc w:val="both"/>
        <w:rPr>
          <w:rFonts w:ascii="Verdana" w:hAnsi="Verdana"/>
          <w:color w:val="auto"/>
          <w:szCs w:val="18"/>
          <w:lang w:val="en-GB"/>
        </w:rPr>
      </w:pPr>
      <w:r w:rsidRPr="00FA5AE3">
        <w:rPr>
          <w:rFonts w:ascii="Verdana" w:hAnsi="Verdana"/>
          <w:color w:val="auto"/>
          <w:lang w:val="en-GB"/>
        </w:rPr>
        <w:t>pay the Fees arising from the licence granted, in accordance with the licence type and</w:t>
      </w:r>
      <w:r w:rsidR="006A25CF">
        <w:rPr>
          <w:rFonts w:ascii="Verdana" w:hAnsi="Verdana"/>
          <w:color w:val="auto"/>
          <w:lang w:val="en-GB"/>
        </w:rPr>
        <w:t> </w:t>
      </w:r>
      <w:r w:rsidRPr="00FA5AE3">
        <w:rPr>
          <w:rFonts w:ascii="Verdana" w:hAnsi="Verdana"/>
          <w:color w:val="auto"/>
          <w:lang w:val="en-GB"/>
        </w:rPr>
        <w:t>period as set forth in point III of Appendix 2 to these Rules and in the provisions of</w:t>
      </w:r>
      <w:r w:rsidR="006A25CF">
        <w:rPr>
          <w:rFonts w:ascii="Verdana" w:hAnsi="Verdana"/>
          <w:color w:val="auto"/>
          <w:lang w:val="en-GB"/>
        </w:rPr>
        <w:t> </w:t>
      </w:r>
      <w:r w:rsidRPr="00FA5AE3">
        <w:rPr>
          <w:rFonts w:ascii="Verdana" w:hAnsi="Verdana"/>
          <w:color w:val="auto"/>
          <w:lang w:val="en-GB"/>
        </w:rPr>
        <w:t xml:space="preserve">these Rules, in the amount determined by the Administrator and resulting from Appendix 2 to these Rules. </w:t>
      </w:r>
    </w:p>
    <w:p w14:paraId="65ABE472" w14:textId="307A2D34" w:rsidR="0092452F" w:rsidRPr="00FA5AE3" w:rsidRDefault="0092452F" w:rsidP="0092452F">
      <w:pPr>
        <w:pStyle w:val="Akapitzlist"/>
        <w:numPr>
          <w:ilvl w:val="0"/>
          <w:numId w:val="5"/>
        </w:numPr>
        <w:spacing w:after="0" w:line="360" w:lineRule="auto"/>
        <w:jc w:val="both"/>
        <w:rPr>
          <w:rFonts w:ascii="Verdana" w:hAnsi="Verdana"/>
          <w:color w:val="auto"/>
          <w:szCs w:val="18"/>
          <w:lang w:val="en-GB"/>
        </w:rPr>
      </w:pPr>
      <w:r w:rsidRPr="00FA5AE3">
        <w:rPr>
          <w:rFonts w:ascii="Verdana" w:hAnsi="Verdana"/>
          <w:color w:val="auto"/>
          <w:lang w:val="en-GB"/>
        </w:rPr>
        <w:t xml:space="preserve">Upon fulfilling the requirement set forth in par. 1, the </w:t>
      </w:r>
      <w:r w:rsidR="00FA5AE3">
        <w:rPr>
          <w:rFonts w:ascii="Verdana" w:hAnsi="Verdana"/>
          <w:color w:val="auto"/>
          <w:lang w:val="en-GB"/>
        </w:rPr>
        <w:t>Licensee</w:t>
      </w:r>
      <w:r w:rsidRPr="00FA5AE3">
        <w:rPr>
          <w:rFonts w:ascii="Verdana" w:hAnsi="Verdana"/>
          <w:color w:val="auto"/>
          <w:lang w:val="en-GB"/>
        </w:rPr>
        <w:t xml:space="preserve"> shall acquire the right to use and apply the selected Benchmarks under the following terms and conditions:</w:t>
      </w:r>
    </w:p>
    <w:p w14:paraId="0E67D7A3" w14:textId="77777777" w:rsidR="0092452F" w:rsidRPr="00FA5AE3" w:rsidRDefault="0092452F" w:rsidP="0092452F">
      <w:pPr>
        <w:pStyle w:val="Akapitzlist"/>
        <w:numPr>
          <w:ilvl w:val="0"/>
          <w:numId w:val="6"/>
        </w:numPr>
        <w:spacing w:after="0" w:line="360" w:lineRule="auto"/>
        <w:jc w:val="both"/>
        <w:rPr>
          <w:rFonts w:ascii="Verdana" w:hAnsi="Verdana"/>
          <w:color w:val="auto"/>
          <w:szCs w:val="18"/>
          <w:lang w:val="en-GB"/>
        </w:rPr>
      </w:pPr>
      <w:r w:rsidRPr="00FA5AE3">
        <w:rPr>
          <w:rFonts w:ascii="Verdana" w:hAnsi="Verdana"/>
          <w:color w:val="auto"/>
          <w:lang w:val="en-GB"/>
        </w:rPr>
        <w:t>the licence for applying a Benchmark in debt securities shall be a non-exclusive, paid, worldwide licence;</w:t>
      </w:r>
    </w:p>
    <w:p w14:paraId="40C8431C" w14:textId="55C27C27" w:rsidR="0092452F" w:rsidRPr="00FA5AE3" w:rsidRDefault="0092452F" w:rsidP="0092452F">
      <w:pPr>
        <w:pStyle w:val="Akapitzlist"/>
        <w:numPr>
          <w:ilvl w:val="0"/>
          <w:numId w:val="6"/>
        </w:numPr>
        <w:spacing w:after="0" w:line="360" w:lineRule="auto"/>
        <w:jc w:val="both"/>
        <w:rPr>
          <w:rFonts w:ascii="Verdana" w:hAnsi="Verdana"/>
          <w:color w:val="auto"/>
          <w:szCs w:val="18"/>
          <w:lang w:val="en-GB"/>
        </w:rPr>
      </w:pPr>
      <w:r w:rsidRPr="00FA5AE3">
        <w:rPr>
          <w:rFonts w:ascii="Verdana" w:hAnsi="Verdana"/>
          <w:color w:val="auto"/>
          <w:lang w:val="en-GB"/>
        </w:rPr>
        <w:lastRenderedPageBreak/>
        <w:t xml:space="preserve">the licence shall be granted for a calendar year of using and applying a given Benchmark and/or a different period indicated by the </w:t>
      </w:r>
      <w:r w:rsidR="00FA5AE3">
        <w:rPr>
          <w:rFonts w:ascii="Verdana" w:hAnsi="Verdana"/>
          <w:color w:val="auto"/>
          <w:lang w:val="en-GB"/>
        </w:rPr>
        <w:t>Licensee</w:t>
      </w:r>
      <w:r w:rsidRPr="00FA5AE3">
        <w:rPr>
          <w:rFonts w:ascii="Verdana" w:hAnsi="Verdana"/>
          <w:color w:val="auto"/>
          <w:lang w:val="en-GB"/>
        </w:rPr>
        <w:t xml:space="preserve"> in accordance with the submitted Statement;</w:t>
      </w:r>
    </w:p>
    <w:p w14:paraId="5DC35A2B" w14:textId="0F2AE879" w:rsidR="0092452F" w:rsidRPr="00FA5AE3" w:rsidRDefault="0092452F" w:rsidP="0092452F">
      <w:pPr>
        <w:pStyle w:val="Akapitzlist"/>
        <w:numPr>
          <w:ilvl w:val="0"/>
          <w:numId w:val="6"/>
        </w:numPr>
        <w:spacing w:after="0" w:line="360" w:lineRule="auto"/>
        <w:jc w:val="both"/>
        <w:rPr>
          <w:rFonts w:ascii="Verdana" w:hAnsi="Verdana"/>
          <w:color w:val="auto"/>
          <w:szCs w:val="18"/>
          <w:lang w:val="en-GB"/>
        </w:rPr>
      </w:pPr>
      <w:r w:rsidRPr="00FA5AE3">
        <w:rPr>
          <w:rFonts w:ascii="Verdana" w:hAnsi="Verdana"/>
          <w:color w:val="auto"/>
          <w:lang w:val="en-GB"/>
        </w:rPr>
        <w:t>the Benchmark applying licence shall include the right to use the Benchmarks indicated in</w:t>
      </w:r>
      <w:r w:rsidR="006A25CF">
        <w:rPr>
          <w:rFonts w:ascii="Verdana" w:hAnsi="Verdana"/>
          <w:color w:val="auto"/>
          <w:lang w:val="en-GB"/>
        </w:rPr>
        <w:t> </w:t>
      </w:r>
      <w:r w:rsidRPr="00FA5AE3">
        <w:rPr>
          <w:rFonts w:ascii="Verdana" w:hAnsi="Verdana"/>
          <w:color w:val="auto"/>
          <w:lang w:val="en-GB"/>
        </w:rPr>
        <w:t xml:space="preserve">the Statement referred to in par.1, to the extent defined in the Documentation; </w:t>
      </w:r>
    </w:p>
    <w:p w14:paraId="2A670B06" w14:textId="7EB2983A" w:rsidR="0092452F" w:rsidRPr="00FA5AE3" w:rsidRDefault="0092452F" w:rsidP="0092452F">
      <w:pPr>
        <w:pStyle w:val="Akapitzlist"/>
        <w:numPr>
          <w:ilvl w:val="0"/>
          <w:numId w:val="6"/>
        </w:numPr>
        <w:spacing w:after="0" w:line="360" w:lineRule="auto"/>
        <w:jc w:val="both"/>
        <w:rPr>
          <w:rFonts w:ascii="Verdana" w:hAnsi="Verdana"/>
          <w:color w:val="auto"/>
          <w:szCs w:val="18"/>
          <w:lang w:val="en-GB"/>
        </w:rPr>
      </w:pPr>
      <w:r w:rsidRPr="00FA5AE3">
        <w:rPr>
          <w:rFonts w:ascii="Verdana" w:hAnsi="Verdana"/>
          <w:color w:val="auto"/>
          <w:lang w:val="en-GB"/>
        </w:rPr>
        <w:t>the Benchmark using licence shall include the right to apply the selected Benchmarks, including their word and/or figurative marks, which constitute a registered trademark, and</w:t>
      </w:r>
      <w:r w:rsidR="006A25CF">
        <w:rPr>
          <w:rFonts w:ascii="Verdana" w:hAnsi="Verdana"/>
          <w:color w:val="auto"/>
          <w:lang w:val="en-GB"/>
        </w:rPr>
        <w:t> </w:t>
      </w:r>
      <w:r w:rsidRPr="00FA5AE3">
        <w:rPr>
          <w:rFonts w:ascii="Verdana" w:hAnsi="Verdana"/>
          <w:color w:val="auto"/>
          <w:lang w:val="en-GB"/>
        </w:rPr>
        <w:t>the copyrighted Documentation.</w:t>
      </w:r>
      <w:r w:rsidR="00E73FFE">
        <w:rPr>
          <w:rFonts w:ascii="Verdana" w:hAnsi="Verdana"/>
          <w:color w:val="auto"/>
          <w:lang w:val="en-GB"/>
        </w:rPr>
        <w:t xml:space="preserve"> </w:t>
      </w:r>
    </w:p>
    <w:p w14:paraId="4E1EB221" w14:textId="70C77E54" w:rsidR="0092452F" w:rsidRPr="00FA5AE3" w:rsidRDefault="0092452F" w:rsidP="0092452F">
      <w:pPr>
        <w:pStyle w:val="Akapitzlist"/>
        <w:numPr>
          <w:ilvl w:val="0"/>
          <w:numId w:val="5"/>
        </w:numPr>
        <w:spacing w:after="0" w:line="360" w:lineRule="auto"/>
        <w:jc w:val="both"/>
        <w:rPr>
          <w:rFonts w:ascii="Verdana" w:hAnsi="Verdana"/>
          <w:color w:val="auto"/>
          <w:szCs w:val="18"/>
          <w:lang w:val="en-GB"/>
        </w:rPr>
      </w:pPr>
      <w:r w:rsidRPr="00FA5AE3">
        <w:rPr>
          <w:rFonts w:ascii="Verdana" w:hAnsi="Verdana"/>
          <w:color w:val="auto"/>
          <w:lang w:val="en-GB"/>
        </w:rPr>
        <w:t>The licence referred to in par. 3 shall not cover any right to grant further Benchmark using or</w:t>
      </w:r>
      <w:r w:rsidR="006A25CF">
        <w:rPr>
          <w:rFonts w:ascii="Verdana" w:hAnsi="Verdana"/>
          <w:color w:val="auto"/>
          <w:lang w:val="en-GB"/>
        </w:rPr>
        <w:t> </w:t>
      </w:r>
      <w:r w:rsidRPr="00FA5AE3">
        <w:rPr>
          <w:rFonts w:ascii="Verdana" w:hAnsi="Verdana"/>
          <w:color w:val="auto"/>
          <w:lang w:val="en-GB"/>
        </w:rPr>
        <w:t xml:space="preserve">applying licences, nor shall it </w:t>
      </w:r>
      <w:r w:rsidR="00F1283D">
        <w:rPr>
          <w:rFonts w:ascii="Verdana" w:hAnsi="Verdana"/>
          <w:color w:val="auto"/>
          <w:lang w:val="en-GB"/>
        </w:rPr>
        <w:t>include</w:t>
      </w:r>
      <w:r w:rsidRPr="00FA5AE3">
        <w:rPr>
          <w:rFonts w:ascii="Verdana" w:hAnsi="Verdana"/>
          <w:color w:val="auto"/>
          <w:lang w:val="en-GB"/>
        </w:rPr>
        <w:t xml:space="preserve"> any right to assign the licence to any third party.</w:t>
      </w:r>
    </w:p>
    <w:p w14:paraId="0AA48ABC" w14:textId="0EE17FB4" w:rsidR="0092452F" w:rsidRPr="00FA5AE3" w:rsidRDefault="0092452F" w:rsidP="0092452F">
      <w:pPr>
        <w:pStyle w:val="Akapitzlist"/>
        <w:numPr>
          <w:ilvl w:val="0"/>
          <w:numId w:val="5"/>
        </w:numPr>
        <w:spacing w:after="0" w:line="360" w:lineRule="auto"/>
        <w:jc w:val="both"/>
        <w:rPr>
          <w:rFonts w:ascii="Verdana" w:hAnsi="Verdana"/>
          <w:color w:val="auto"/>
          <w:szCs w:val="18"/>
          <w:lang w:val="en-GB"/>
        </w:rPr>
      </w:pPr>
      <w:r w:rsidRPr="00FA5AE3">
        <w:rPr>
          <w:rFonts w:ascii="Verdana" w:hAnsi="Verdana"/>
          <w:color w:val="auto"/>
          <w:lang w:val="en-GB"/>
        </w:rPr>
        <w:t>The licence referred to in par. 3 shall not cover the right to introduce changes and/or</w:t>
      </w:r>
      <w:r w:rsidR="006A25CF">
        <w:rPr>
          <w:rFonts w:ascii="Verdana" w:hAnsi="Verdana"/>
          <w:color w:val="auto"/>
          <w:lang w:val="en-GB"/>
        </w:rPr>
        <w:t> </w:t>
      </w:r>
      <w:r w:rsidRPr="00FA5AE3">
        <w:rPr>
          <w:rFonts w:ascii="Verdana" w:hAnsi="Verdana"/>
          <w:color w:val="auto"/>
          <w:lang w:val="en-GB"/>
        </w:rPr>
        <w:t>modifications to the word and/or figurative marks of the Benchmarks and/or</w:t>
      </w:r>
      <w:r w:rsidR="006A25CF">
        <w:rPr>
          <w:rFonts w:ascii="Verdana" w:hAnsi="Verdana"/>
          <w:color w:val="auto"/>
          <w:lang w:val="en-GB"/>
        </w:rPr>
        <w:t> </w:t>
      </w:r>
      <w:r w:rsidRPr="00FA5AE3">
        <w:rPr>
          <w:rFonts w:ascii="Verdana" w:hAnsi="Verdana"/>
          <w:color w:val="auto"/>
          <w:lang w:val="en-GB"/>
        </w:rPr>
        <w:t>the</w:t>
      </w:r>
      <w:r w:rsidR="006A25CF">
        <w:rPr>
          <w:rFonts w:ascii="Verdana" w:hAnsi="Verdana"/>
          <w:color w:val="auto"/>
          <w:lang w:val="en-GB"/>
        </w:rPr>
        <w:t> </w:t>
      </w:r>
      <w:r w:rsidRPr="00FA5AE3">
        <w:rPr>
          <w:rFonts w:ascii="Verdana" w:hAnsi="Verdana"/>
          <w:color w:val="auto"/>
          <w:lang w:val="en-GB"/>
        </w:rPr>
        <w:t>Documentation.</w:t>
      </w:r>
    </w:p>
    <w:p w14:paraId="656B139B" w14:textId="77777777" w:rsidR="0092452F" w:rsidRPr="00FA5AE3" w:rsidRDefault="0092452F" w:rsidP="0092452F">
      <w:pPr>
        <w:pStyle w:val="Akapitzlist"/>
        <w:numPr>
          <w:ilvl w:val="0"/>
          <w:numId w:val="5"/>
        </w:numPr>
        <w:spacing w:after="0" w:line="360" w:lineRule="auto"/>
        <w:jc w:val="both"/>
        <w:rPr>
          <w:rFonts w:ascii="Verdana" w:hAnsi="Verdana"/>
          <w:color w:val="auto"/>
          <w:szCs w:val="18"/>
          <w:lang w:val="en-GB"/>
        </w:rPr>
      </w:pPr>
      <w:r w:rsidRPr="00FA5AE3">
        <w:rPr>
          <w:rFonts w:ascii="Verdana" w:hAnsi="Verdana"/>
          <w:color w:val="auto"/>
          <w:lang w:val="en-GB"/>
        </w:rPr>
        <w:t>Any Benchmark use and/or application which is in breach of the Administrator’s Documentation and/or goes beyond the legal framework set forth in the Documentation shall be prohibited.</w:t>
      </w:r>
    </w:p>
    <w:p w14:paraId="57DBFBD2" w14:textId="77777777" w:rsidR="0092452F" w:rsidRPr="00FA5AE3" w:rsidRDefault="0092452F" w:rsidP="0092452F">
      <w:pPr>
        <w:spacing w:after="0" w:line="360" w:lineRule="auto"/>
        <w:jc w:val="both"/>
        <w:rPr>
          <w:rFonts w:ascii="Verdana" w:hAnsi="Verdana"/>
          <w:color w:val="auto"/>
          <w:szCs w:val="18"/>
          <w:lang w:val="en-GB"/>
        </w:rPr>
      </w:pPr>
    </w:p>
    <w:p w14:paraId="2D589150" w14:textId="77777777" w:rsidR="0092452F" w:rsidRPr="00FA5AE3" w:rsidRDefault="0092452F" w:rsidP="0092452F">
      <w:pPr>
        <w:spacing w:after="0" w:line="360" w:lineRule="auto"/>
        <w:jc w:val="center"/>
        <w:rPr>
          <w:rFonts w:ascii="Verdana" w:hAnsi="Verdana"/>
          <w:b/>
          <w:bCs/>
          <w:color w:val="auto"/>
          <w:szCs w:val="18"/>
          <w:lang w:val="en-GB"/>
        </w:rPr>
      </w:pPr>
      <w:r w:rsidRPr="00FA5AE3">
        <w:rPr>
          <w:rFonts w:ascii="Verdana" w:hAnsi="Verdana"/>
          <w:b/>
          <w:color w:val="auto"/>
          <w:lang w:val="en-GB"/>
        </w:rPr>
        <w:t>§ 4</w:t>
      </w:r>
    </w:p>
    <w:p w14:paraId="39CB84BA" w14:textId="77777777" w:rsidR="0092452F" w:rsidRPr="00FA5AE3" w:rsidRDefault="0092452F" w:rsidP="0092452F">
      <w:pPr>
        <w:spacing w:after="0" w:line="360" w:lineRule="auto"/>
        <w:jc w:val="center"/>
        <w:rPr>
          <w:rFonts w:ascii="Verdana" w:hAnsi="Verdana"/>
          <w:b/>
          <w:bCs/>
          <w:color w:val="auto"/>
          <w:szCs w:val="18"/>
          <w:lang w:val="en-GB"/>
        </w:rPr>
      </w:pPr>
      <w:r w:rsidRPr="00FA5AE3">
        <w:rPr>
          <w:rFonts w:ascii="Verdana" w:hAnsi="Verdana"/>
          <w:b/>
          <w:color w:val="auto"/>
          <w:lang w:val="en-GB"/>
        </w:rPr>
        <w:t xml:space="preserve">Benchmark Using and Applying Fees </w:t>
      </w:r>
    </w:p>
    <w:p w14:paraId="4FAFA52B" w14:textId="48A36E32" w:rsidR="0092452F" w:rsidRPr="00FA5AE3" w:rsidRDefault="0092452F" w:rsidP="0092452F">
      <w:pPr>
        <w:pStyle w:val="Akapitzlist"/>
        <w:numPr>
          <w:ilvl w:val="0"/>
          <w:numId w:val="7"/>
        </w:numPr>
        <w:spacing w:after="0" w:line="360" w:lineRule="auto"/>
        <w:jc w:val="both"/>
        <w:rPr>
          <w:rFonts w:ascii="Verdana" w:hAnsi="Verdana"/>
          <w:color w:val="auto"/>
          <w:szCs w:val="18"/>
          <w:lang w:val="en-GB"/>
        </w:rPr>
      </w:pPr>
      <w:r w:rsidRPr="00FA5AE3">
        <w:rPr>
          <w:rFonts w:ascii="Verdana" w:hAnsi="Verdana"/>
          <w:color w:val="auto"/>
          <w:lang w:val="en-GB"/>
        </w:rPr>
        <w:t>The Licensee shall make timely payments to the Administrator of the Fees for the granted licence for using and applying the selected Benchmarks. The Fees for Benchmark using and</w:t>
      </w:r>
      <w:r w:rsidR="00E73FFE">
        <w:rPr>
          <w:rFonts w:ascii="Verdana" w:hAnsi="Verdana"/>
          <w:color w:val="auto"/>
          <w:lang w:val="en-GB"/>
        </w:rPr>
        <w:t> </w:t>
      </w:r>
      <w:r w:rsidRPr="00FA5AE3">
        <w:rPr>
          <w:rFonts w:ascii="Verdana" w:hAnsi="Verdana"/>
          <w:color w:val="auto"/>
          <w:lang w:val="en-GB"/>
        </w:rPr>
        <w:t xml:space="preserve">applying licences may be paid by the </w:t>
      </w:r>
      <w:r w:rsidR="00FA5AE3">
        <w:rPr>
          <w:rFonts w:ascii="Verdana" w:hAnsi="Verdana"/>
          <w:color w:val="auto"/>
          <w:lang w:val="en-GB"/>
        </w:rPr>
        <w:t>Licensee</w:t>
      </w:r>
      <w:r w:rsidRPr="00FA5AE3">
        <w:rPr>
          <w:rFonts w:ascii="Verdana" w:hAnsi="Verdana"/>
          <w:color w:val="auto"/>
          <w:lang w:val="en-GB"/>
        </w:rPr>
        <w:t xml:space="preserve"> and/or an issuing agent and/or third party acting on behalf of the </w:t>
      </w:r>
      <w:r w:rsidR="00FA5AE3">
        <w:rPr>
          <w:rFonts w:ascii="Verdana" w:hAnsi="Verdana"/>
          <w:color w:val="auto"/>
          <w:lang w:val="en-GB"/>
        </w:rPr>
        <w:t>Licensee</w:t>
      </w:r>
      <w:r w:rsidRPr="00FA5AE3">
        <w:rPr>
          <w:rFonts w:ascii="Verdana" w:hAnsi="Verdana"/>
          <w:color w:val="auto"/>
          <w:lang w:val="en-GB"/>
        </w:rPr>
        <w:t>, on the basis of a Power of Attorney referred to in Section 8.</w:t>
      </w:r>
    </w:p>
    <w:p w14:paraId="2060350B" w14:textId="61189434" w:rsidR="0092452F" w:rsidRPr="00FA5AE3" w:rsidRDefault="0092452F" w:rsidP="0092452F">
      <w:pPr>
        <w:pStyle w:val="Akapitzlist"/>
        <w:numPr>
          <w:ilvl w:val="0"/>
          <w:numId w:val="7"/>
        </w:numPr>
        <w:spacing w:after="0" w:line="360" w:lineRule="auto"/>
        <w:jc w:val="both"/>
        <w:rPr>
          <w:rFonts w:ascii="Verdana" w:hAnsi="Verdana"/>
          <w:color w:val="auto"/>
          <w:szCs w:val="18"/>
          <w:lang w:val="en-GB"/>
        </w:rPr>
      </w:pPr>
      <w:r w:rsidRPr="00FA5AE3">
        <w:rPr>
          <w:rFonts w:ascii="Verdana" w:hAnsi="Verdana"/>
          <w:color w:val="auto"/>
          <w:lang w:val="en-GB"/>
        </w:rPr>
        <w:t>The amount of the Fee for a licence for using and applying Benchmarks provided by</w:t>
      </w:r>
      <w:r w:rsidR="00E73FFE">
        <w:rPr>
          <w:rFonts w:ascii="Verdana" w:hAnsi="Verdana"/>
          <w:color w:val="auto"/>
          <w:lang w:val="en-GB"/>
        </w:rPr>
        <w:t> </w:t>
      </w:r>
      <w:r w:rsidRPr="00FA5AE3">
        <w:rPr>
          <w:rFonts w:ascii="Verdana" w:hAnsi="Verdana"/>
          <w:color w:val="auto"/>
          <w:lang w:val="en-GB"/>
        </w:rPr>
        <w:t>the</w:t>
      </w:r>
      <w:r w:rsidR="00E73FFE">
        <w:rPr>
          <w:rFonts w:ascii="Verdana" w:hAnsi="Verdana"/>
          <w:color w:val="auto"/>
          <w:lang w:val="en-GB"/>
        </w:rPr>
        <w:t> </w:t>
      </w:r>
      <w:r w:rsidRPr="00FA5AE3">
        <w:rPr>
          <w:rFonts w:ascii="Verdana" w:hAnsi="Verdana"/>
          <w:color w:val="auto"/>
          <w:lang w:val="en-GB"/>
        </w:rPr>
        <w:t>Administrator is presented in the Fee Schedule, which constitutes Appendix 2 to these Rules. The Fees set forth in Appendix 2 are net amounts, which shall be increased by the legally applicable Value-added Tax (VAT).</w:t>
      </w:r>
      <w:r w:rsidR="00E73FFE">
        <w:rPr>
          <w:rFonts w:ascii="Verdana" w:hAnsi="Verdana"/>
          <w:color w:val="auto"/>
          <w:lang w:val="en-GB"/>
        </w:rPr>
        <w:t xml:space="preserve"> </w:t>
      </w:r>
    </w:p>
    <w:p w14:paraId="25DFB958" w14:textId="05BAD221" w:rsidR="0092452F" w:rsidRPr="00FA5AE3" w:rsidRDefault="0092452F" w:rsidP="0092452F">
      <w:pPr>
        <w:pStyle w:val="Akapitzlist"/>
        <w:numPr>
          <w:ilvl w:val="0"/>
          <w:numId w:val="7"/>
        </w:numPr>
        <w:spacing w:after="0" w:line="360" w:lineRule="auto"/>
        <w:jc w:val="both"/>
        <w:rPr>
          <w:rFonts w:ascii="Verdana" w:hAnsi="Verdana"/>
          <w:color w:val="auto"/>
          <w:szCs w:val="18"/>
          <w:lang w:val="en-GB"/>
        </w:rPr>
      </w:pPr>
      <w:r w:rsidRPr="00FA5AE3">
        <w:rPr>
          <w:rFonts w:ascii="Verdana" w:hAnsi="Verdana"/>
          <w:color w:val="auto"/>
          <w:lang w:val="en-GB"/>
        </w:rPr>
        <w:t xml:space="preserve">The </w:t>
      </w:r>
      <w:r w:rsidR="00FA5AE3">
        <w:rPr>
          <w:rFonts w:ascii="Verdana" w:hAnsi="Verdana"/>
          <w:color w:val="auto"/>
          <w:lang w:val="en-GB"/>
        </w:rPr>
        <w:t>Licensee</w:t>
      </w:r>
      <w:r w:rsidRPr="00FA5AE3">
        <w:rPr>
          <w:rFonts w:ascii="Verdana" w:hAnsi="Verdana"/>
          <w:color w:val="auto"/>
          <w:lang w:val="en-GB"/>
        </w:rPr>
        <w:t xml:space="preserve"> may select the type of Fee for the Benchmark using and applying licence. The Fee may be:</w:t>
      </w:r>
    </w:p>
    <w:p w14:paraId="12D6305A" w14:textId="77777777" w:rsidR="0092452F" w:rsidRPr="00FA5AE3" w:rsidRDefault="0092452F" w:rsidP="0092452F">
      <w:pPr>
        <w:pStyle w:val="Akapitzlist"/>
        <w:numPr>
          <w:ilvl w:val="0"/>
          <w:numId w:val="15"/>
        </w:numPr>
        <w:spacing w:after="0" w:line="360" w:lineRule="auto"/>
        <w:jc w:val="both"/>
        <w:rPr>
          <w:rFonts w:ascii="Verdana" w:hAnsi="Verdana"/>
          <w:color w:val="auto"/>
          <w:szCs w:val="18"/>
          <w:lang w:val="en-GB"/>
        </w:rPr>
      </w:pPr>
      <w:r w:rsidRPr="00FA5AE3">
        <w:rPr>
          <w:rFonts w:ascii="Verdana" w:hAnsi="Verdana"/>
          <w:color w:val="auto"/>
          <w:lang w:val="en-GB"/>
        </w:rPr>
        <w:t>an Issuer Fee (where the licence covers and applies to all series of debt securities of a given Issuer in a calendar year),</w:t>
      </w:r>
    </w:p>
    <w:p w14:paraId="3E0995D5" w14:textId="521993A3" w:rsidR="0092452F" w:rsidRPr="00FA5AE3" w:rsidRDefault="00F1283D" w:rsidP="0092452F">
      <w:pPr>
        <w:pStyle w:val="Akapitzlist"/>
        <w:numPr>
          <w:ilvl w:val="0"/>
          <w:numId w:val="15"/>
        </w:numPr>
        <w:spacing w:after="0" w:line="360" w:lineRule="auto"/>
        <w:jc w:val="both"/>
        <w:rPr>
          <w:rFonts w:ascii="Verdana" w:hAnsi="Verdana"/>
          <w:color w:val="auto"/>
          <w:szCs w:val="18"/>
          <w:lang w:val="en-GB"/>
        </w:rPr>
      </w:pPr>
      <w:r>
        <w:rPr>
          <w:rFonts w:ascii="Verdana" w:hAnsi="Verdana"/>
          <w:color w:val="auto"/>
          <w:lang w:val="en-GB"/>
        </w:rPr>
        <w:t xml:space="preserve">an </w:t>
      </w:r>
      <w:r w:rsidR="0092452F" w:rsidRPr="00FA5AE3">
        <w:rPr>
          <w:rFonts w:ascii="Verdana" w:hAnsi="Verdana"/>
          <w:color w:val="auto"/>
          <w:lang w:val="en-GB"/>
        </w:rPr>
        <w:t>Issuance Fee (where the licence covers a single series of debt securities in a calendar year).</w:t>
      </w:r>
    </w:p>
    <w:p w14:paraId="10C5DB82" w14:textId="0399EDF4" w:rsidR="0092452F" w:rsidRPr="00FA5AE3" w:rsidRDefault="0092452F" w:rsidP="0092452F">
      <w:pPr>
        <w:pStyle w:val="Akapitzlist"/>
        <w:numPr>
          <w:ilvl w:val="0"/>
          <w:numId w:val="7"/>
        </w:numPr>
        <w:spacing w:after="0" w:line="360" w:lineRule="auto"/>
        <w:jc w:val="both"/>
        <w:rPr>
          <w:rFonts w:ascii="Verdana" w:hAnsi="Verdana"/>
          <w:color w:val="auto"/>
          <w:szCs w:val="18"/>
          <w:lang w:val="en-GB"/>
        </w:rPr>
      </w:pPr>
      <w:r w:rsidRPr="00FA5AE3">
        <w:rPr>
          <w:rFonts w:ascii="Verdana" w:hAnsi="Verdana"/>
          <w:color w:val="auto"/>
          <w:lang w:val="en-GB"/>
        </w:rPr>
        <w:t xml:space="preserve">The </w:t>
      </w:r>
      <w:r w:rsidR="00FA5AE3">
        <w:rPr>
          <w:rFonts w:ascii="Verdana" w:hAnsi="Verdana"/>
          <w:color w:val="auto"/>
          <w:lang w:val="en-GB"/>
        </w:rPr>
        <w:t>Licensee</w:t>
      </w:r>
      <w:r w:rsidRPr="00FA5AE3">
        <w:rPr>
          <w:rFonts w:ascii="Verdana" w:hAnsi="Verdana"/>
          <w:color w:val="auto"/>
          <w:lang w:val="en-GB"/>
        </w:rPr>
        <w:t xml:space="preserve"> shall select a Fee type and a licence period by selecting the applicable boxes in</w:t>
      </w:r>
      <w:r w:rsidR="00F1283D">
        <w:rPr>
          <w:rFonts w:ascii="Verdana" w:hAnsi="Verdana"/>
          <w:color w:val="auto"/>
          <w:lang w:val="en-GB"/>
        </w:rPr>
        <w:t> </w:t>
      </w:r>
      <w:r w:rsidRPr="00FA5AE3">
        <w:rPr>
          <w:rFonts w:ascii="Verdana" w:hAnsi="Verdana"/>
          <w:color w:val="auto"/>
          <w:lang w:val="en-GB"/>
        </w:rPr>
        <w:t xml:space="preserve">Appendix 1 to these Rules. The </w:t>
      </w:r>
      <w:r w:rsidR="00FA5AE3">
        <w:rPr>
          <w:rFonts w:ascii="Verdana" w:hAnsi="Verdana"/>
          <w:color w:val="auto"/>
          <w:lang w:val="en-GB"/>
        </w:rPr>
        <w:t>Licensee</w:t>
      </w:r>
      <w:r w:rsidRPr="00FA5AE3">
        <w:rPr>
          <w:rFonts w:ascii="Verdana" w:hAnsi="Verdana"/>
          <w:color w:val="auto"/>
          <w:lang w:val="en-GB"/>
        </w:rPr>
        <w:t xml:space="preserve"> may select between:</w:t>
      </w:r>
    </w:p>
    <w:p w14:paraId="1182B683" w14:textId="77777777" w:rsidR="0092452F" w:rsidRPr="00FA5AE3" w:rsidRDefault="0092452F" w:rsidP="0092452F">
      <w:pPr>
        <w:pStyle w:val="Akapitzlist"/>
        <w:spacing w:after="0" w:line="360" w:lineRule="auto"/>
        <w:ind w:left="1080"/>
        <w:jc w:val="both"/>
        <w:rPr>
          <w:rFonts w:ascii="Verdana" w:hAnsi="Verdana"/>
          <w:color w:val="auto"/>
          <w:szCs w:val="18"/>
          <w:lang w:val="en-GB"/>
        </w:rPr>
      </w:pPr>
      <w:r w:rsidRPr="00FA5AE3">
        <w:rPr>
          <w:rFonts w:ascii="Verdana" w:hAnsi="Verdana"/>
          <w:color w:val="auto"/>
          <w:lang w:val="en-GB"/>
        </w:rPr>
        <w:t>a) a Licence billed annually,</w:t>
      </w:r>
      <w:r w:rsidRPr="00FA5AE3">
        <w:rPr>
          <w:rFonts w:ascii="Verdana" w:hAnsi="Verdana"/>
          <w:color w:val="auto"/>
          <w:highlight w:val="yellow"/>
          <w:lang w:val="en-GB"/>
        </w:rPr>
        <w:t xml:space="preserve"> </w:t>
      </w:r>
    </w:p>
    <w:p w14:paraId="5EA0807A" w14:textId="4BD9189E" w:rsidR="0092452F" w:rsidRPr="00FA5AE3" w:rsidRDefault="0092452F" w:rsidP="0092452F">
      <w:pPr>
        <w:pStyle w:val="Akapitzlist"/>
        <w:spacing w:after="0" w:line="360" w:lineRule="auto"/>
        <w:ind w:left="1080"/>
        <w:jc w:val="both"/>
        <w:rPr>
          <w:rFonts w:ascii="Verdana" w:hAnsi="Verdana"/>
          <w:color w:val="auto"/>
          <w:szCs w:val="18"/>
          <w:lang w:val="en-GB"/>
        </w:rPr>
      </w:pPr>
      <w:r w:rsidRPr="00FA5AE3">
        <w:rPr>
          <w:rFonts w:ascii="Verdana" w:hAnsi="Verdana"/>
          <w:color w:val="auto"/>
          <w:lang w:val="en-GB"/>
        </w:rPr>
        <w:t>b)</w:t>
      </w:r>
      <w:r w:rsidR="00A675A8">
        <w:rPr>
          <w:rFonts w:ascii="Verdana" w:hAnsi="Verdana"/>
          <w:color w:val="auto"/>
          <w:lang w:val="en-GB"/>
        </w:rPr>
        <w:t xml:space="preserve"> </w:t>
      </w:r>
      <w:r w:rsidRPr="00FA5AE3">
        <w:rPr>
          <w:rFonts w:ascii="Verdana" w:hAnsi="Verdana"/>
          <w:color w:val="auto"/>
          <w:lang w:val="en-GB"/>
        </w:rPr>
        <w:t>a Licence billed otherwise than as set forth in letter a) above.</w:t>
      </w:r>
      <w:r w:rsidR="00E73FFE">
        <w:rPr>
          <w:rFonts w:ascii="Verdana" w:hAnsi="Verdana"/>
          <w:color w:val="auto"/>
          <w:lang w:val="en-GB"/>
        </w:rPr>
        <w:t xml:space="preserve"> </w:t>
      </w:r>
    </w:p>
    <w:p w14:paraId="4E6DADB3" w14:textId="77777777" w:rsidR="0092452F" w:rsidRPr="00FA5AE3" w:rsidRDefault="0092452F" w:rsidP="0092452F">
      <w:pPr>
        <w:pStyle w:val="Akapitzlist"/>
        <w:numPr>
          <w:ilvl w:val="0"/>
          <w:numId w:val="7"/>
        </w:numPr>
        <w:spacing w:after="0" w:line="360" w:lineRule="auto"/>
        <w:jc w:val="both"/>
        <w:rPr>
          <w:rFonts w:ascii="Verdana" w:hAnsi="Verdana"/>
          <w:color w:val="auto"/>
          <w:szCs w:val="18"/>
          <w:lang w:val="en-GB"/>
        </w:rPr>
      </w:pPr>
      <w:r w:rsidRPr="00FA5AE3">
        <w:rPr>
          <w:rFonts w:ascii="Verdana" w:hAnsi="Verdana"/>
          <w:color w:val="auto"/>
          <w:lang w:val="en-GB"/>
        </w:rPr>
        <w:t>In the first and successive calendar years of Benchmark using and applying, the Fee amount shall be charged on the basis of the issue value of the Issuer’s floating-rate debt securities, which value shall be verified by the Administrator. In the last calendar year of Benchmark using and applying, the Fee amount shall be charged on the basis of the issue value of the debt securities at the Central Securities Depository of Poland (</w:t>
      </w:r>
      <w:r w:rsidRPr="002C0033">
        <w:rPr>
          <w:rFonts w:ascii="Verdana" w:hAnsi="Verdana"/>
          <w:color w:val="auto"/>
          <w:lang w:val="en-GB"/>
        </w:rPr>
        <w:t>Polish</w:t>
      </w:r>
      <w:r w:rsidRPr="00FA5AE3">
        <w:rPr>
          <w:rFonts w:ascii="Verdana" w:hAnsi="Verdana"/>
          <w:color w:val="auto"/>
          <w:lang w:val="en-GB"/>
        </w:rPr>
        <w:t xml:space="preserve">: </w:t>
      </w:r>
      <w:r w:rsidRPr="002C0033">
        <w:rPr>
          <w:rFonts w:ascii="Verdana" w:hAnsi="Verdana"/>
          <w:i/>
          <w:iCs/>
          <w:color w:val="auto"/>
          <w:lang w:val="en-GB"/>
        </w:rPr>
        <w:t>Krajowy Depozyt Papierów Wartościowych S.A.</w:t>
      </w:r>
      <w:r w:rsidRPr="00FA5AE3">
        <w:rPr>
          <w:rFonts w:ascii="Verdana" w:hAnsi="Verdana"/>
          <w:color w:val="auto"/>
          <w:lang w:val="en-GB"/>
        </w:rPr>
        <w:t>) as of the end of the month preceding issue maturity, which value shall be verified by the Administrator.</w:t>
      </w:r>
      <w:bookmarkStart w:id="0" w:name="_Hlk221524812"/>
    </w:p>
    <w:p w14:paraId="60AD7CA6" w14:textId="03C3B8A9" w:rsidR="0092452F" w:rsidRPr="00FA5AE3" w:rsidRDefault="0092452F" w:rsidP="0092452F">
      <w:pPr>
        <w:pStyle w:val="Akapitzlist"/>
        <w:numPr>
          <w:ilvl w:val="0"/>
          <w:numId w:val="7"/>
        </w:numPr>
        <w:spacing w:after="0" w:line="360" w:lineRule="auto"/>
        <w:jc w:val="both"/>
        <w:rPr>
          <w:rFonts w:ascii="Verdana" w:hAnsi="Verdana"/>
          <w:color w:val="auto"/>
          <w:szCs w:val="18"/>
          <w:lang w:val="en-GB"/>
        </w:rPr>
      </w:pPr>
      <w:r w:rsidRPr="00FA5AE3">
        <w:rPr>
          <w:rFonts w:ascii="Verdana" w:hAnsi="Verdana"/>
          <w:color w:val="auto"/>
          <w:lang w:val="en-GB"/>
        </w:rPr>
        <w:lastRenderedPageBreak/>
        <w:t>In the event of selecting the fee type referred to in par. 4(a), in the first and successive calendar years of Benchmark using and applying, excluding the last year of Benchmark using and</w:t>
      </w:r>
      <w:r w:rsidR="00A675A8">
        <w:rPr>
          <w:rFonts w:ascii="Verdana" w:hAnsi="Verdana"/>
          <w:color w:val="auto"/>
          <w:lang w:val="en-GB"/>
        </w:rPr>
        <w:t> </w:t>
      </w:r>
      <w:r w:rsidRPr="00FA5AE3">
        <w:rPr>
          <w:rFonts w:ascii="Verdana" w:hAnsi="Verdana"/>
          <w:color w:val="auto"/>
          <w:lang w:val="en-GB"/>
        </w:rPr>
        <w:t>applying, the Fee amounts shall be charged in arrears, on the basis of the data available at the Central Securities Depository of Poland, at issue value of the Issuer’s debt securities as</w:t>
      </w:r>
      <w:r w:rsidR="00A675A8">
        <w:rPr>
          <w:rFonts w:ascii="Verdana" w:hAnsi="Verdana"/>
          <w:color w:val="auto"/>
          <w:lang w:val="en-GB"/>
        </w:rPr>
        <w:t> </w:t>
      </w:r>
      <w:r w:rsidRPr="00FA5AE3">
        <w:rPr>
          <w:rFonts w:ascii="Verdana" w:hAnsi="Verdana"/>
          <w:color w:val="auto"/>
          <w:lang w:val="en-GB"/>
        </w:rPr>
        <w:t>of the completed calendar year, whereas for the fee type referred to in par. 4(b), the Fee amounts shall be charged in advance, on the basis of the same current data as of the last day of the month following the month of Statement submission, provided that registration with the</w:t>
      </w:r>
      <w:r w:rsidR="00A675A8">
        <w:rPr>
          <w:rFonts w:ascii="Verdana" w:hAnsi="Verdana"/>
          <w:color w:val="auto"/>
          <w:lang w:val="en-GB"/>
        </w:rPr>
        <w:t> </w:t>
      </w:r>
      <w:r w:rsidRPr="00FA5AE3">
        <w:rPr>
          <w:rFonts w:ascii="Verdana" w:hAnsi="Verdana"/>
          <w:color w:val="auto"/>
          <w:lang w:val="en-GB"/>
        </w:rPr>
        <w:t xml:space="preserve">Central Securities Depository of Poland is completed by that day, subject to the provisions of par. 10. </w:t>
      </w:r>
      <w:bookmarkEnd w:id="0"/>
    </w:p>
    <w:p w14:paraId="7A93D739" w14:textId="286FB001" w:rsidR="0092452F" w:rsidRPr="00FA5AE3" w:rsidRDefault="0092452F" w:rsidP="0092452F">
      <w:pPr>
        <w:pStyle w:val="Akapitzlist"/>
        <w:numPr>
          <w:ilvl w:val="0"/>
          <w:numId w:val="7"/>
        </w:numPr>
        <w:spacing w:after="0" w:line="360" w:lineRule="auto"/>
        <w:jc w:val="both"/>
        <w:rPr>
          <w:rFonts w:ascii="Verdana" w:hAnsi="Verdana"/>
          <w:color w:val="auto"/>
          <w:szCs w:val="18"/>
          <w:lang w:val="en-GB"/>
        </w:rPr>
      </w:pPr>
      <w:r w:rsidRPr="00FA5AE3">
        <w:rPr>
          <w:rFonts w:ascii="Verdana" w:hAnsi="Verdana"/>
          <w:color w:val="auto"/>
          <w:lang w:val="en-GB"/>
        </w:rPr>
        <w:t>In the event of selecting the fee type referred to in par. 4(a), in the last calendar year of</w:t>
      </w:r>
      <w:r w:rsidR="00A675A8">
        <w:rPr>
          <w:rFonts w:ascii="Verdana" w:hAnsi="Verdana"/>
          <w:color w:val="auto"/>
          <w:lang w:val="en-GB"/>
        </w:rPr>
        <w:t> </w:t>
      </w:r>
      <w:r w:rsidRPr="00FA5AE3">
        <w:rPr>
          <w:rFonts w:ascii="Verdana" w:hAnsi="Verdana"/>
          <w:color w:val="auto"/>
          <w:lang w:val="en-GB"/>
        </w:rPr>
        <w:t>Benchmark using and applying, the Fee amount shall be charged in the month following the</w:t>
      </w:r>
      <w:r w:rsidR="00A675A8">
        <w:rPr>
          <w:rFonts w:ascii="Verdana" w:hAnsi="Verdana"/>
          <w:color w:val="auto"/>
          <w:lang w:val="en-GB"/>
        </w:rPr>
        <w:t> </w:t>
      </w:r>
      <w:r w:rsidRPr="00FA5AE3">
        <w:rPr>
          <w:rFonts w:ascii="Verdana" w:hAnsi="Verdana"/>
          <w:color w:val="auto"/>
          <w:lang w:val="en-GB"/>
        </w:rPr>
        <w:t xml:space="preserve">cessation of Benchmark using and applying. </w:t>
      </w:r>
    </w:p>
    <w:p w14:paraId="14B4ADA1" w14:textId="7D06C9C4" w:rsidR="0092452F" w:rsidRPr="00FA5AE3" w:rsidRDefault="0092452F" w:rsidP="0092452F">
      <w:pPr>
        <w:pStyle w:val="Akapitzlist"/>
        <w:numPr>
          <w:ilvl w:val="0"/>
          <w:numId w:val="7"/>
        </w:numPr>
        <w:spacing w:after="0" w:line="360" w:lineRule="auto"/>
        <w:jc w:val="both"/>
        <w:rPr>
          <w:rFonts w:ascii="Verdana" w:hAnsi="Verdana"/>
          <w:color w:val="auto"/>
          <w:szCs w:val="18"/>
          <w:lang w:val="en-GB"/>
        </w:rPr>
      </w:pPr>
      <w:r w:rsidRPr="00FA5AE3">
        <w:rPr>
          <w:rFonts w:ascii="Verdana" w:hAnsi="Verdana"/>
          <w:color w:val="auto"/>
          <w:lang w:val="en-GB"/>
        </w:rPr>
        <w:t>The determination of a Fee amount by the Administrat</w:t>
      </w:r>
      <w:r w:rsidR="00A675A8">
        <w:rPr>
          <w:rFonts w:ascii="Verdana" w:hAnsi="Verdana"/>
          <w:color w:val="auto"/>
          <w:lang w:val="en-GB"/>
        </w:rPr>
        <w:t>or</w:t>
      </w:r>
      <w:r w:rsidRPr="00FA5AE3">
        <w:rPr>
          <w:rFonts w:ascii="Verdana" w:hAnsi="Verdana"/>
          <w:color w:val="auto"/>
          <w:lang w:val="en-GB"/>
        </w:rPr>
        <w:t xml:space="preserve"> in accordance with par. 5 shall not exclude the </w:t>
      </w:r>
      <w:r w:rsidR="00FA5AE3">
        <w:rPr>
          <w:rFonts w:ascii="Verdana" w:hAnsi="Verdana"/>
          <w:color w:val="auto"/>
          <w:lang w:val="en-GB"/>
        </w:rPr>
        <w:t>Licensee</w:t>
      </w:r>
      <w:r w:rsidRPr="00FA5AE3">
        <w:rPr>
          <w:rFonts w:ascii="Verdana" w:hAnsi="Verdana"/>
          <w:color w:val="auto"/>
          <w:lang w:val="en-GB"/>
        </w:rPr>
        <w:t>’s right stipulated in Section 9 of these Rules.</w:t>
      </w:r>
    </w:p>
    <w:p w14:paraId="7275C025" w14:textId="544F1538" w:rsidR="0092452F" w:rsidRPr="00FA5AE3" w:rsidRDefault="0092452F" w:rsidP="0092452F">
      <w:pPr>
        <w:pStyle w:val="Akapitzlist"/>
        <w:numPr>
          <w:ilvl w:val="0"/>
          <w:numId w:val="7"/>
        </w:numPr>
        <w:spacing w:after="0" w:line="360" w:lineRule="auto"/>
        <w:jc w:val="both"/>
        <w:rPr>
          <w:rFonts w:ascii="Verdana" w:hAnsi="Verdana"/>
          <w:color w:val="auto"/>
          <w:szCs w:val="18"/>
          <w:lang w:val="en-GB"/>
        </w:rPr>
      </w:pPr>
      <w:r w:rsidRPr="00FA5AE3">
        <w:rPr>
          <w:rFonts w:ascii="Verdana" w:hAnsi="Verdana"/>
          <w:color w:val="auto"/>
          <w:lang w:val="en-GB"/>
        </w:rPr>
        <w:t xml:space="preserve">In the event of </w:t>
      </w:r>
      <w:r w:rsidR="00A675A8" w:rsidRPr="00FA5AE3">
        <w:rPr>
          <w:rFonts w:ascii="Verdana" w:hAnsi="Verdana"/>
          <w:color w:val="auto"/>
          <w:lang w:val="en-GB"/>
        </w:rPr>
        <w:t>unavailability</w:t>
      </w:r>
      <w:r w:rsidRPr="00FA5AE3">
        <w:rPr>
          <w:rFonts w:ascii="Verdana" w:hAnsi="Verdana"/>
          <w:color w:val="auto"/>
          <w:lang w:val="en-GB"/>
        </w:rPr>
        <w:t xml:space="preserve"> of data at the Central Securities Depository of Poland, the</w:t>
      </w:r>
      <w:r w:rsidR="00A675A8">
        <w:rPr>
          <w:rFonts w:ascii="Verdana" w:hAnsi="Verdana"/>
          <w:color w:val="auto"/>
          <w:lang w:val="en-GB"/>
        </w:rPr>
        <w:t> </w:t>
      </w:r>
      <w:r w:rsidRPr="00FA5AE3">
        <w:rPr>
          <w:rFonts w:ascii="Verdana" w:hAnsi="Verdana"/>
          <w:color w:val="auto"/>
          <w:lang w:val="en-GB"/>
        </w:rPr>
        <w:t>Administrator shall verify the issue value of the Issuer’s debt securities presented in</w:t>
      </w:r>
      <w:r w:rsidR="00A675A8">
        <w:rPr>
          <w:rFonts w:ascii="Verdana" w:hAnsi="Verdana"/>
          <w:color w:val="auto"/>
          <w:lang w:val="en-GB"/>
        </w:rPr>
        <w:t> </w:t>
      </w:r>
      <w:r w:rsidRPr="00FA5AE3">
        <w:rPr>
          <w:rFonts w:ascii="Verdana" w:hAnsi="Verdana"/>
          <w:color w:val="auto"/>
          <w:lang w:val="en-GB"/>
        </w:rPr>
        <w:t>the</w:t>
      </w:r>
      <w:r w:rsidR="00A675A8">
        <w:rPr>
          <w:rFonts w:ascii="Verdana" w:hAnsi="Verdana"/>
          <w:color w:val="auto"/>
          <w:lang w:val="en-GB"/>
        </w:rPr>
        <w:t> </w:t>
      </w:r>
      <w:r w:rsidRPr="00FA5AE3">
        <w:rPr>
          <w:rFonts w:ascii="Verdana" w:hAnsi="Verdana"/>
          <w:color w:val="auto"/>
          <w:lang w:val="en-GB"/>
        </w:rPr>
        <w:t>Statement on the basis of other available sources.</w:t>
      </w:r>
      <w:r w:rsidR="00E73FFE">
        <w:rPr>
          <w:rFonts w:ascii="Verdana" w:hAnsi="Verdana"/>
          <w:color w:val="auto"/>
          <w:lang w:val="en-GB"/>
        </w:rPr>
        <w:t xml:space="preserve"> </w:t>
      </w:r>
      <w:r w:rsidRPr="00FA5AE3">
        <w:rPr>
          <w:rFonts w:ascii="Verdana" w:hAnsi="Verdana"/>
          <w:color w:val="auto"/>
          <w:lang w:val="en-GB"/>
        </w:rPr>
        <w:t>In the case of discrepancies, the</w:t>
      </w:r>
      <w:r w:rsidR="00A675A8">
        <w:rPr>
          <w:rFonts w:ascii="Verdana" w:hAnsi="Verdana"/>
          <w:color w:val="auto"/>
          <w:lang w:val="en-GB"/>
        </w:rPr>
        <w:t> </w:t>
      </w:r>
      <w:r w:rsidRPr="00FA5AE3">
        <w:rPr>
          <w:rFonts w:ascii="Verdana" w:hAnsi="Verdana"/>
          <w:color w:val="auto"/>
          <w:lang w:val="en-GB"/>
        </w:rPr>
        <w:t xml:space="preserve">Administrator shall request that the </w:t>
      </w:r>
      <w:r w:rsidR="00FA5AE3">
        <w:rPr>
          <w:rFonts w:ascii="Verdana" w:hAnsi="Verdana"/>
          <w:color w:val="auto"/>
          <w:lang w:val="en-GB"/>
        </w:rPr>
        <w:t>Licensee</w:t>
      </w:r>
      <w:r w:rsidRPr="00FA5AE3">
        <w:rPr>
          <w:rFonts w:ascii="Verdana" w:hAnsi="Verdana"/>
          <w:color w:val="auto"/>
          <w:lang w:val="en-GB"/>
        </w:rPr>
        <w:t xml:space="preserve"> provide explanations in this respect, within a</w:t>
      </w:r>
      <w:r w:rsidR="00A675A8">
        <w:rPr>
          <w:rFonts w:ascii="Verdana" w:hAnsi="Verdana"/>
          <w:color w:val="auto"/>
          <w:lang w:val="en-GB"/>
        </w:rPr>
        <w:t> </w:t>
      </w:r>
      <w:r w:rsidRPr="00FA5AE3">
        <w:rPr>
          <w:rFonts w:ascii="Verdana" w:hAnsi="Verdana"/>
          <w:color w:val="auto"/>
          <w:lang w:val="en-GB"/>
        </w:rPr>
        <w:t>prescribed time limit. The Issuer’s failure to provide explanations shall result in</w:t>
      </w:r>
      <w:r w:rsidR="00A675A8">
        <w:rPr>
          <w:rFonts w:ascii="Verdana" w:hAnsi="Verdana"/>
          <w:color w:val="auto"/>
          <w:lang w:val="en-GB"/>
        </w:rPr>
        <w:t> </w:t>
      </w:r>
      <w:r w:rsidRPr="00FA5AE3">
        <w:rPr>
          <w:rFonts w:ascii="Verdana" w:hAnsi="Verdana"/>
          <w:color w:val="auto"/>
          <w:lang w:val="en-GB"/>
        </w:rPr>
        <w:t>the</w:t>
      </w:r>
      <w:r w:rsidR="00A675A8">
        <w:rPr>
          <w:rFonts w:ascii="Verdana" w:hAnsi="Verdana"/>
          <w:color w:val="auto"/>
          <w:lang w:val="en-GB"/>
        </w:rPr>
        <w:t> </w:t>
      </w:r>
      <w:r w:rsidRPr="00FA5AE3">
        <w:rPr>
          <w:rFonts w:ascii="Verdana" w:hAnsi="Verdana"/>
          <w:color w:val="auto"/>
          <w:lang w:val="en-GB"/>
        </w:rPr>
        <w:t>Administrator charging a Fee amount determined on the basis of sources available to</w:t>
      </w:r>
      <w:r w:rsidR="00A675A8">
        <w:rPr>
          <w:rFonts w:ascii="Verdana" w:hAnsi="Verdana"/>
          <w:color w:val="auto"/>
          <w:lang w:val="en-GB"/>
        </w:rPr>
        <w:t> </w:t>
      </w:r>
      <w:r w:rsidRPr="00FA5AE3">
        <w:rPr>
          <w:rFonts w:ascii="Verdana" w:hAnsi="Verdana"/>
          <w:color w:val="auto"/>
          <w:lang w:val="en-GB"/>
        </w:rPr>
        <w:t>the</w:t>
      </w:r>
      <w:r w:rsidR="00A675A8">
        <w:rPr>
          <w:rFonts w:ascii="Verdana" w:hAnsi="Verdana"/>
          <w:color w:val="auto"/>
          <w:lang w:val="en-GB"/>
        </w:rPr>
        <w:t> </w:t>
      </w:r>
      <w:r w:rsidRPr="00FA5AE3">
        <w:rPr>
          <w:rFonts w:ascii="Verdana" w:hAnsi="Verdana"/>
          <w:color w:val="auto"/>
          <w:lang w:val="en-GB"/>
        </w:rPr>
        <w:t>Administrator.</w:t>
      </w:r>
    </w:p>
    <w:p w14:paraId="2A59304C" w14:textId="2C1209C7" w:rsidR="0092452F" w:rsidRPr="00FA5AE3" w:rsidRDefault="0092452F" w:rsidP="0092452F">
      <w:pPr>
        <w:pStyle w:val="Akapitzlist"/>
        <w:numPr>
          <w:ilvl w:val="0"/>
          <w:numId w:val="7"/>
        </w:numPr>
        <w:spacing w:after="0" w:line="360" w:lineRule="auto"/>
        <w:jc w:val="both"/>
        <w:rPr>
          <w:rFonts w:ascii="Verdana" w:hAnsi="Verdana"/>
          <w:color w:val="auto"/>
          <w:szCs w:val="18"/>
          <w:lang w:val="en-GB"/>
        </w:rPr>
      </w:pPr>
      <w:r w:rsidRPr="00FA5AE3">
        <w:rPr>
          <w:rFonts w:ascii="Verdana" w:hAnsi="Verdana"/>
          <w:color w:val="auto"/>
          <w:lang w:val="en-GB"/>
        </w:rPr>
        <w:t>The Fee payable for an issuance conducted by a Polish or foreign entity, not registered with the</w:t>
      </w:r>
      <w:r w:rsidR="002C0033">
        <w:rPr>
          <w:rFonts w:ascii="Verdana" w:hAnsi="Verdana"/>
          <w:color w:val="auto"/>
          <w:lang w:val="en-GB"/>
        </w:rPr>
        <w:t> </w:t>
      </w:r>
      <w:r w:rsidRPr="00FA5AE3">
        <w:rPr>
          <w:rFonts w:ascii="Verdana" w:hAnsi="Verdana"/>
          <w:color w:val="auto"/>
          <w:lang w:val="en-GB"/>
        </w:rPr>
        <w:t xml:space="preserve">Central Securities Depository of Poland, shall be determined on the basis of the most recent data presented in the Statement, </w:t>
      </w:r>
      <w:r w:rsidR="00A675A8">
        <w:rPr>
          <w:rFonts w:ascii="Verdana" w:hAnsi="Verdana"/>
          <w:color w:val="auto"/>
          <w:lang w:val="en-GB"/>
        </w:rPr>
        <w:t xml:space="preserve">the template of </w:t>
      </w:r>
      <w:r w:rsidRPr="00FA5AE3">
        <w:rPr>
          <w:rFonts w:ascii="Verdana" w:hAnsi="Verdana"/>
          <w:color w:val="auto"/>
          <w:lang w:val="en-GB"/>
        </w:rPr>
        <w:t>which constitutes Appendix 1 to these Rules, upon the terms and conditions set forth in par. 5.</w:t>
      </w:r>
    </w:p>
    <w:p w14:paraId="3A9E99F8" w14:textId="77777777" w:rsidR="0092452F" w:rsidRPr="00FA5AE3" w:rsidRDefault="0092452F" w:rsidP="0092452F">
      <w:pPr>
        <w:pStyle w:val="Akapitzlist"/>
        <w:numPr>
          <w:ilvl w:val="0"/>
          <w:numId w:val="7"/>
        </w:numPr>
        <w:spacing w:after="0" w:line="360" w:lineRule="auto"/>
        <w:jc w:val="both"/>
        <w:rPr>
          <w:rFonts w:ascii="Verdana" w:hAnsi="Verdana"/>
          <w:color w:val="auto"/>
          <w:szCs w:val="18"/>
          <w:lang w:val="en-GB"/>
        </w:rPr>
      </w:pPr>
      <w:r w:rsidRPr="00FA5AE3">
        <w:rPr>
          <w:rFonts w:ascii="Verdana" w:hAnsi="Verdana"/>
          <w:color w:val="auto"/>
          <w:lang w:val="en-GB"/>
        </w:rPr>
        <w:t>The Fee amounts shall be set forth in the Fee Schedule, which constitutes Appendix 2 to these Rules. The Fee amount shall be dependent on the issue value of the Issuer’s floating-rate debt securities where a Benchmark provided by the Administrator is used, in accordance with the thresholds set forth in the Fee Schedule.</w:t>
      </w:r>
    </w:p>
    <w:p w14:paraId="71858812" w14:textId="5FABDE73" w:rsidR="0092452F" w:rsidRPr="00FA5AE3" w:rsidRDefault="0092452F" w:rsidP="0092452F">
      <w:pPr>
        <w:pStyle w:val="Akapitzlist"/>
        <w:numPr>
          <w:ilvl w:val="0"/>
          <w:numId w:val="7"/>
        </w:numPr>
        <w:spacing w:after="0" w:line="360" w:lineRule="auto"/>
        <w:jc w:val="both"/>
        <w:rPr>
          <w:rFonts w:ascii="Verdana" w:hAnsi="Verdana"/>
          <w:color w:val="auto"/>
          <w:szCs w:val="18"/>
          <w:lang w:val="en-GB"/>
        </w:rPr>
      </w:pPr>
      <w:r w:rsidRPr="00FA5AE3">
        <w:rPr>
          <w:rFonts w:ascii="Verdana" w:hAnsi="Verdana"/>
          <w:color w:val="auto"/>
          <w:lang w:val="en-GB"/>
        </w:rPr>
        <w:t xml:space="preserve">The </w:t>
      </w:r>
      <w:r w:rsidR="00FA5AE3">
        <w:rPr>
          <w:rFonts w:ascii="Verdana" w:hAnsi="Verdana"/>
          <w:color w:val="auto"/>
          <w:lang w:val="en-GB"/>
        </w:rPr>
        <w:t>Licensee</w:t>
      </w:r>
      <w:r w:rsidRPr="00FA5AE3">
        <w:rPr>
          <w:rFonts w:ascii="Verdana" w:hAnsi="Verdana"/>
          <w:color w:val="auto"/>
          <w:lang w:val="en-GB"/>
        </w:rPr>
        <w:t xml:space="preserve">’s failure to select a Fee type shall result in the non-granting of the licence. </w:t>
      </w:r>
    </w:p>
    <w:p w14:paraId="2AC21799" w14:textId="39CFD5BA" w:rsidR="0092452F" w:rsidRPr="00FA5AE3" w:rsidRDefault="0092452F" w:rsidP="0092452F">
      <w:pPr>
        <w:pStyle w:val="Akapitzlist"/>
        <w:numPr>
          <w:ilvl w:val="0"/>
          <w:numId w:val="7"/>
        </w:numPr>
        <w:spacing w:after="0" w:line="360" w:lineRule="auto"/>
        <w:jc w:val="both"/>
        <w:rPr>
          <w:rFonts w:ascii="Verdana" w:hAnsi="Verdana"/>
          <w:color w:val="auto"/>
          <w:szCs w:val="18"/>
          <w:lang w:val="en-GB"/>
        </w:rPr>
      </w:pPr>
      <w:r w:rsidRPr="00FA5AE3">
        <w:rPr>
          <w:rFonts w:ascii="Verdana" w:hAnsi="Verdana"/>
          <w:color w:val="auto"/>
          <w:lang w:val="en-GB"/>
        </w:rPr>
        <w:t xml:space="preserve">The </w:t>
      </w:r>
      <w:r w:rsidR="00FA5AE3">
        <w:rPr>
          <w:rFonts w:ascii="Verdana" w:hAnsi="Verdana"/>
          <w:color w:val="auto"/>
          <w:lang w:val="en-GB"/>
        </w:rPr>
        <w:t>Licensee</w:t>
      </w:r>
      <w:r w:rsidRPr="00FA5AE3">
        <w:rPr>
          <w:rFonts w:ascii="Verdana" w:hAnsi="Verdana"/>
          <w:color w:val="auto"/>
          <w:lang w:val="en-GB"/>
        </w:rPr>
        <w:t xml:space="preserve">'s failure to specify the licence period, which determines the licence Fee </w:t>
      </w:r>
      <w:r w:rsidR="00A675A8">
        <w:rPr>
          <w:rFonts w:ascii="Verdana" w:hAnsi="Verdana"/>
          <w:color w:val="auto"/>
          <w:lang w:val="en-GB"/>
        </w:rPr>
        <w:t>bill</w:t>
      </w:r>
      <w:r w:rsidRPr="00FA5AE3">
        <w:rPr>
          <w:rFonts w:ascii="Verdana" w:hAnsi="Verdana"/>
          <w:color w:val="auto"/>
          <w:lang w:val="en-GB"/>
        </w:rPr>
        <w:t xml:space="preserve">ing method, shall result in annual billing. </w:t>
      </w:r>
    </w:p>
    <w:p w14:paraId="73100233" w14:textId="77777777" w:rsidR="0092452F" w:rsidRPr="00FA5AE3" w:rsidRDefault="0092452F" w:rsidP="0092452F">
      <w:pPr>
        <w:pStyle w:val="Akapitzlist"/>
        <w:numPr>
          <w:ilvl w:val="0"/>
          <w:numId w:val="7"/>
        </w:numPr>
        <w:spacing w:after="0" w:line="360" w:lineRule="auto"/>
        <w:jc w:val="both"/>
        <w:rPr>
          <w:rFonts w:ascii="Verdana" w:hAnsi="Verdana"/>
          <w:color w:val="auto"/>
          <w:szCs w:val="18"/>
          <w:lang w:val="en-GB"/>
        </w:rPr>
      </w:pPr>
      <w:r w:rsidRPr="00FA5AE3">
        <w:rPr>
          <w:rFonts w:ascii="Verdana" w:hAnsi="Verdana"/>
          <w:color w:val="auto"/>
          <w:lang w:val="en-GB"/>
        </w:rPr>
        <w:t xml:space="preserve">A licence billed in accordance with par. 4(a) shall be renewed automatically and shall not require the submission of a new Statement nor the updating of submitted Statements. </w:t>
      </w:r>
    </w:p>
    <w:p w14:paraId="48315284" w14:textId="52537961" w:rsidR="0092452F" w:rsidRPr="00FA5AE3" w:rsidRDefault="0092452F" w:rsidP="0092452F">
      <w:pPr>
        <w:pStyle w:val="Akapitzlist"/>
        <w:numPr>
          <w:ilvl w:val="0"/>
          <w:numId w:val="7"/>
        </w:numPr>
        <w:spacing w:after="0" w:line="360" w:lineRule="auto"/>
        <w:jc w:val="both"/>
        <w:rPr>
          <w:rFonts w:ascii="Verdana" w:hAnsi="Verdana"/>
          <w:color w:val="auto"/>
          <w:szCs w:val="18"/>
          <w:lang w:val="en-GB"/>
        </w:rPr>
      </w:pPr>
      <w:r w:rsidRPr="00FA5AE3">
        <w:rPr>
          <w:rFonts w:ascii="Verdana" w:hAnsi="Verdana"/>
          <w:color w:val="auto"/>
          <w:lang w:val="en-GB"/>
        </w:rPr>
        <w:t xml:space="preserve">If the </w:t>
      </w:r>
      <w:r w:rsidR="00FA5AE3">
        <w:rPr>
          <w:rFonts w:ascii="Verdana" w:hAnsi="Verdana"/>
          <w:color w:val="auto"/>
          <w:lang w:val="en-GB"/>
        </w:rPr>
        <w:t>Licensee</w:t>
      </w:r>
      <w:r w:rsidRPr="00FA5AE3">
        <w:rPr>
          <w:rFonts w:ascii="Verdana" w:hAnsi="Verdana"/>
          <w:color w:val="auto"/>
          <w:lang w:val="en-GB"/>
        </w:rPr>
        <w:t xml:space="preserve"> selects the licence period referred to in par. 4(b), the Administrator shall apply a rebate of 20% of the total Fees for the selected licence period, provided that the period selected by the </w:t>
      </w:r>
      <w:r w:rsidR="00FA5AE3">
        <w:rPr>
          <w:rFonts w:ascii="Verdana" w:hAnsi="Verdana"/>
          <w:color w:val="auto"/>
          <w:lang w:val="en-GB"/>
        </w:rPr>
        <w:t>Licensee</w:t>
      </w:r>
      <w:r w:rsidRPr="00FA5AE3">
        <w:rPr>
          <w:rFonts w:ascii="Verdana" w:hAnsi="Verdana"/>
          <w:color w:val="auto"/>
          <w:lang w:val="en-GB"/>
        </w:rPr>
        <w:t xml:space="preserve"> is not shorter than six (6) calendar years. </w:t>
      </w:r>
    </w:p>
    <w:p w14:paraId="273772B0" w14:textId="424A6816" w:rsidR="0092452F" w:rsidRPr="00FA5AE3" w:rsidRDefault="0092452F" w:rsidP="0092452F">
      <w:pPr>
        <w:pStyle w:val="Akapitzlist"/>
        <w:numPr>
          <w:ilvl w:val="0"/>
          <w:numId w:val="7"/>
        </w:numPr>
        <w:spacing w:after="0" w:line="360" w:lineRule="auto"/>
        <w:jc w:val="both"/>
        <w:rPr>
          <w:rFonts w:ascii="Verdana" w:hAnsi="Verdana"/>
          <w:color w:val="auto"/>
          <w:szCs w:val="18"/>
          <w:lang w:val="en-GB"/>
        </w:rPr>
      </w:pPr>
      <w:r w:rsidRPr="00FA5AE3">
        <w:rPr>
          <w:rFonts w:ascii="Verdana" w:hAnsi="Verdana"/>
          <w:color w:val="auto"/>
          <w:lang w:val="en-GB"/>
        </w:rPr>
        <w:t xml:space="preserve">The Fees for Benchmark using and applying licences for the period referred to in par. 4(b) shall be charged in advance, whereas the Fees for Benchmark using and applying licences for the period referred to in par. 4(a) shall be charged in </w:t>
      </w:r>
      <w:r w:rsidR="00A675A8" w:rsidRPr="00FA5AE3">
        <w:rPr>
          <w:rFonts w:ascii="Verdana" w:hAnsi="Verdana"/>
          <w:color w:val="auto"/>
          <w:lang w:val="en-GB"/>
        </w:rPr>
        <w:t>arrears</w:t>
      </w:r>
      <w:r w:rsidRPr="00FA5AE3">
        <w:rPr>
          <w:rFonts w:ascii="Verdana" w:hAnsi="Verdana"/>
          <w:color w:val="auto"/>
          <w:lang w:val="en-GB"/>
        </w:rPr>
        <w:t xml:space="preserve"> for full monthly periods of actual Benchmark using and applying.</w:t>
      </w:r>
    </w:p>
    <w:p w14:paraId="15379086" w14:textId="69E3E8BA" w:rsidR="0092452F" w:rsidRPr="00FA5AE3" w:rsidRDefault="0092452F" w:rsidP="0092452F">
      <w:pPr>
        <w:pStyle w:val="Akapitzlist"/>
        <w:numPr>
          <w:ilvl w:val="0"/>
          <w:numId w:val="7"/>
        </w:numPr>
        <w:spacing w:after="0" w:line="360" w:lineRule="auto"/>
        <w:jc w:val="both"/>
        <w:rPr>
          <w:rFonts w:ascii="Verdana" w:hAnsi="Verdana"/>
          <w:color w:val="auto"/>
          <w:szCs w:val="18"/>
          <w:lang w:val="en-GB"/>
        </w:rPr>
      </w:pPr>
      <w:r w:rsidRPr="00FA5AE3">
        <w:rPr>
          <w:rFonts w:ascii="Verdana" w:hAnsi="Verdana"/>
          <w:color w:val="auto"/>
          <w:lang w:val="en-GB"/>
        </w:rPr>
        <w:t xml:space="preserve">If the selected Fee is the Fee referred to in par. 4(b), a change in the issue value of the Issuer’s debt securities which forms the basis for a Fee occurring within the licence period shall result </w:t>
      </w:r>
      <w:r w:rsidRPr="00FA5AE3">
        <w:rPr>
          <w:rFonts w:ascii="Verdana" w:hAnsi="Verdana"/>
          <w:color w:val="auto"/>
          <w:lang w:val="en-GB"/>
        </w:rPr>
        <w:lastRenderedPageBreak/>
        <w:t>in the Administrator charging the Fee in accordance with the new applicable threshold set forth in the Fee Schedule, starting from the month during which the threshold change occurred. The</w:t>
      </w:r>
      <w:r w:rsidR="00A675A8">
        <w:rPr>
          <w:rFonts w:ascii="Verdana" w:hAnsi="Verdana"/>
          <w:color w:val="auto"/>
          <w:lang w:val="en-GB"/>
        </w:rPr>
        <w:t> </w:t>
      </w:r>
      <w:r w:rsidRPr="00FA5AE3">
        <w:rPr>
          <w:rFonts w:ascii="Verdana" w:hAnsi="Verdana"/>
          <w:color w:val="auto"/>
          <w:lang w:val="en-GB"/>
        </w:rPr>
        <w:t>Administrator shall issue a corrective invoice to that purpose.</w:t>
      </w:r>
      <w:r w:rsidR="00E73FFE">
        <w:rPr>
          <w:rFonts w:ascii="Verdana" w:hAnsi="Verdana"/>
          <w:color w:val="auto"/>
          <w:lang w:val="en-GB"/>
        </w:rPr>
        <w:t xml:space="preserve"> </w:t>
      </w:r>
    </w:p>
    <w:p w14:paraId="0FB01C34" w14:textId="77777777" w:rsidR="0092452F" w:rsidRPr="00FA5AE3" w:rsidRDefault="0092452F" w:rsidP="0092452F">
      <w:pPr>
        <w:pStyle w:val="Akapitzlist"/>
        <w:numPr>
          <w:ilvl w:val="0"/>
          <w:numId w:val="7"/>
        </w:numPr>
        <w:spacing w:after="0" w:line="360" w:lineRule="auto"/>
        <w:jc w:val="both"/>
        <w:rPr>
          <w:rFonts w:ascii="Verdana" w:hAnsi="Verdana"/>
          <w:color w:val="auto"/>
          <w:szCs w:val="18"/>
          <w:lang w:val="en-GB"/>
        </w:rPr>
      </w:pPr>
      <w:r w:rsidRPr="00FA5AE3">
        <w:rPr>
          <w:rFonts w:ascii="Verdana" w:hAnsi="Verdana"/>
          <w:color w:val="auto"/>
          <w:lang w:val="en-GB"/>
        </w:rPr>
        <w:t>The Fees shall be paid on the basis of a VAT invoice issued by the Administrator.</w:t>
      </w:r>
    </w:p>
    <w:p w14:paraId="7236C137" w14:textId="0FD8C5D6" w:rsidR="0092452F" w:rsidRPr="00FA5AE3" w:rsidRDefault="0092452F" w:rsidP="0092452F">
      <w:pPr>
        <w:pStyle w:val="Akapitzlist"/>
        <w:numPr>
          <w:ilvl w:val="0"/>
          <w:numId w:val="7"/>
        </w:numPr>
        <w:spacing w:after="0" w:line="360" w:lineRule="auto"/>
        <w:jc w:val="both"/>
        <w:rPr>
          <w:rFonts w:ascii="Verdana" w:hAnsi="Verdana"/>
          <w:color w:val="auto"/>
          <w:szCs w:val="18"/>
          <w:lang w:val="en-GB"/>
        </w:rPr>
      </w:pPr>
      <w:r w:rsidRPr="00FA5AE3">
        <w:rPr>
          <w:rFonts w:ascii="Verdana" w:hAnsi="Verdana"/>
          <w:color w:val="auto"/>
          <w:lang w:val="en-GB"/>
        </w:rPr>
        <w:t xml:space="preserve">Upon the submission of a Statement by an existing </w:t>
      </w:r>
      <w:r w:rsidR="00FA5AE3">
        <w:rPr>
          <w:rFonts w:ascii="Verdana" w:hAnsi="Verdana"/>
          <w:color w:val="auto"/>
          <w:lang w:val="en-GB"/>
        </w:rPr>
        <w:t>Licensee</w:t>
      </w:r>
      <w:r w:rsidRPr="00FA5AE3">
        <w:rPr>
          <w:rFonts w:ascii="Verdana" w:hAnsi="Verdana"/>
          <w:color w:val="auto"/>
          <w:lang w:val="en-GB"/>
        </w:rPr>
        <w:t xml:space="preserve"> indicating the extension of a licence by at least six (6) more calendar years, the Administrator shall verify the basis for determining the Fee on the basis of data from the Central Securities Depository of Poland and/or other available sources, and shall issue a VAT invoice on that basis.</w:t>
      </w:r>
    </w:p>
    <w:p w14:paraId="399F6260" w14:textId="6EC60311" w:rsidR="0092452F" w:rsidRPr="00FA5AE3" w:rsidRDefault="0092452F" w:rsidP="0092452F">
      <w:pPr>
        <w:pStyle w:val="Akapitzlist"/>
        <w:numPr>
          <w:ilvl w:val="0"/>
          <w:numId w:val="7"/>
        </w:numPr>
        <w:spacing w:after="0" w:line="360" w:lineRule="auto"/>
        <w:jc w:val="both"/>
        <w:rPr>
          <w:rFonts w:ascii="Verdana" w:hAnsi="Verdana"/>
          <w:color w:val="auto"/>
          <w:szCs w:val="18"/>
          <w:lang w:val="en-GB"/>
        </w:rPr>
      </w:pPr>
      <w:r w:rsidRPr="00030D00">
        <w:rPr>
          <w:rFonts w:ascii="Verdana" w:hAnsi="Verdana"/>
          <w:color w:val="auto"/>
          <w:lang w:val="en-GB"/>
        </w:rPr>
        <w:t>It is permitted to change the Fee type solely by submitting to the Administrator, to the address specified in Section 3.1, a correction of the Statement drafted in accordance with the template which constitutes Appendix 1 to these Rules, not later than by the end of the third quarter of</w:t>
      </w:r>
      <w:r w:rsidR="00030D00">
        <w:rPr>
          <w:rFonts w:ascii="Verdana" w:hAnsi="Verdana"/>
          <w:color w:val="auto"/>
          <w:lang w:val="en-GB"/>
        </w:rPr>
        <w:t> </w:t>
      </w:r>
      <w:r w:rsidRPr="00030D00">
        <w:rPr>
          <w:rFonts w:ascii="Verdana" w:hAnsi="Verdana"/>
          <w:color w:val="auto"/>
          <w:lang w:val="en-GB"/>
        </w:rPr>
        <w:t>a</w:t>
      </w:r>
      <w:r w:rsidR="00030D00">
        <w:rPr>
          <w:rFonts w:ascii="Verdana" w:hAnsi="Verdana"/>
          <w:color w:val="auto"/>
          <w:lang w:val="en-GB"/>
        </w:rPr>
        <w:t> </w:t>
      </w:r>
      <w:r w:rsidRPr="00030D00">
        <w:rPr>
          <w:rFonts w:ascii="Verdana" w:hAnsi="Verdana"/>
          <w:color w:val="auto"/>
          <w:lang w:val="en-GB"/>
        </w:rPr>
        <w:t>given calendar year.</w:t>
      </w:r>
      <w:r w:rsidRPr="00FA5AE3">
        <w:rPr>
          <w:rFonts w:ascii="Verdana" w:hAnsi="Verdana"/>
          <w:color w:val="auto"/>
          <w:lang w:val="en-GB"/>
        </w:rPr>
        <w:t xml:space="preserve"> The Fee type selected by the </w:t>
      </w:r>
      <w:r w:rsidR="00FA5AE3">
        <w:rPr>
          <w:rFonts w:ascii="Verdana" w:hAnsi="Verdana"/>
          <w:color w:val="auto"/>
          <w:lang w:val="en-GB"/>
        </w:rPr>
        <w:t>Licensee</w:t>
      </w:r>
      <w:r w:rsidRPr="00FA5AE3">
        <w:rPr>
          <w:rFonts w:ascii="Verdana" w:hAnsi="Verdana"/>
          <w:color w:val="auto"/>
          <w:lang w:val="en-GB"/>
        </w:rPr>
        <w:t xml:space="preserve"> in the correction of</w:t>
      </w:r>
      <w:r w:rsidR="00030D00">
        <w:rPr>
          <w:rFonts w:ascii="Verdana" w:hAnsi="Verdana"/>
          <w:color w:val="auto"/>
          <w:lang w:val="en-GB"/>
        </w:rPr>
        <w:t> </w:t>
      </w:r>
      <w:r w:rsidRPr="00FA5AE3">
        <w:rPr>
          <w:rFonts w:ascii="Verdana" w:hAnsi="Verdana"/>
          <w:color w:val="auto"/>
          <w:lang w:val="en-GB"/>
        </w:rPr>
        <w:t>the</w:t>
      </w:r>
      <w:r w:rsidR="00030D00">
        <w:rPr>
          <w:rFonts w:ascii="Verdana" w:hAnsi="Verdana"/>
          <w:color w:val="auto"/>
          <w:lang w:val="en-GB"/>
        </w:rPr>
        <w:t> </w:t>
      </w:r>
      <w:r w:rsidRPr="00FA5AE3">
        <w:rPr>
          <w:rFonts w:ascii="Verdana" w:hAnsi="Verdana"/>
          <w:color w:val="auto"/>
          <w:lang w:val="en-GB"/>
        </w:rPr>
        <w:t xml:space="preserve">Statement shall become effective on January 1 of the year following the year during which a correction of the Statement had been submitted, and the Administrator shall determine the Fee amount on the basis of the data of the Central Securities Depository of Poland as </w:t>
      </w:r>
      <w:r w:rsidR="004C5F9C" w:rsidRPr="00FA5AE3">
        <w:rPr>
          <w:rFonts w:ascii="Verdana" w:hAnsi="Verdana"/>
          <w:color w:val="auto"/>
          <w:lang w:val="en-GB"/>
        </w:rPr>
        <w:t>of</w:t>
      </w:r>
      <w:r w:rsidRPr="00FA5AE3">
        <w:rPr>
          <w:rFonts w:ascii="Verdana" w:hAnsi="Verdana"/>
          <w:color w:val="auto"/>
          <w:lang w:val="en-GB"/>
        </w:rPr>
        <w:t xml:space="preserve"> December 31 of the year during which the correction of the Statement had been submitted.</w:t>
      </w:r>
    </w:p>
    <w:p w14:paraId="328DDF68" w14:textId="011E7547" w:rsidR="0092452F" w:rsidRPr="00FA5AE3" w:rsidRDefault="0092452F" w:rsidP="0092452F">
      <w:pPr>
        <w:pStyle w:val="Akapitzlist"/>
        <w:numPr>
          <w:ilvl w:val="0"/>
          <w:numId w:val="7"/>
        </w:numPr>
        <w:spacing w:after="0" w:line="360" w:lineRule="auto"/>
        <w:jc w:val="both"/>
        <w:rPr>
          <w:rFonts w:ascii="Verdana" w:hAnsi="Verdana"/>
          <w:color w:val="auto"/>
          <w:szCs w:val="18"/>
          <w:lang w:val="en-GB"/>
        </w:rPr>
      </w:pPr>
      <w:r w:rsidRPr="00FA5AE3">
        <w:rPr>
          <w:rFonts w:ascii="Verdana" w:hAnsi="Verdana"/>
          <w:color w:val="auto"/>
          <w:lang w:val="en-GB"/>
        </w:rPr>
        <w:t xml:space="preserve">Fees already charged by the Administrator and paid by the </w:t>
      </w:r>
      <w:r w:rsidR="00FA5AE3">
        <w:rPr>
          <w:rFonts w:ascii="Verdana" w:hAnsi="Verdana"/>
          <w:color w:val="auto"/>
          <w:lang w:val="en-GB"/>
        </w:rPr>
        <w:t>Licensee</w:t>
      </w:r>
      <w:r w:rsidRPr="00FA5AE3">
        <w:rPr>
          <w:rFonts w:ascii="Verdana" w:hAnsi="Verdana"/>
          <w:color w:val="auto"/>
          <w:lang w:val="en-GB"/>
        </w:rPr>
        <w:t xml:space="preserve"> prior to the Fee type change effected by submitting a correction of the Statement shall be non-refundable.</w:t>
      </w:r>
    </w:p>
    <w:p w14:paraId="07C06D27" w14:textId="77777777" w:rsidR="0092452F" w:rsidRPr="00FA5AE3" w:rsidRDefault="0092452F" w:rsidP="0092452F">
      <w:pPr>
        <w:pStyle w:val="Akapitzlist"/>
        <w:numPr>
          <w:ilvl w:val="0"/>
          <w:numId w:val="7"/>
        </w:numPr>
        <w:spacing w:after="0" w:line="360" w:lineRule="auto"/>
        <w:jc w:val="both"/>
        <w:rPr>
          <w:rFonts w:ascii="Verdana" w:hAnsi="Verdana"/>
          <w:color w:val="auto"/>
          <w:szCs w:val="18"/>
          <w:lang w:val="en-GB"/>
        </w:rPr>
      </w:pPr>
      <w:r w:rsidRPr="00FA5AE3">
        <w:rPr>
          <w:rFonts w:ascii="Verdana" w:hAnsi="Verdana"/>
          <w:color w:val="auto"/>
          <w:lang w:val="en-GB"/>
        </w:rPr>
        <w:t>Failure to make timely Fee payments shall result in the charging of statutory late payment interest for each day of payment delay.</w:t>
      </w:r>
    </w:p>
    <w:p w14:paraId="7C2838DF" w14:textId="2E0B70A8" w:rsidR="0092452F" w:rsidRPr="00FA5AE3" w:rsidRDefault="0092452F" w:rsidP="0092452F">
      <w:pPr>
        <w:pStyle w:val="Akapitzlist"/>
        <w:numPr>
          <w:ilvl w:val="0"/>
          <w:numId w:val="7"/>
        </w:numPr>
        <w:spacing w:after="0" w:line="360" w:lineRule="auto"/>
        <w:jc w:val="both"/>
        <w:rPr>
          <w:rFonts w:ascii="Verdana" w:hAnsi="Verdana"/>
          <w:color w:val="auto"/>
          <w:szCs w:val="18"/>
          <w:lang w:val="en-GB"/>
        </w:rPr>
      </w:pPr>
      <w:r w:rsidRPr="00FA5AE3">
        <w:rPr>
          <w:rFonts w:ascii="Verdana" w:hAnsi="Verdana"/>
          <w:color w:val="auto"/>
          <w:lang w:val="en-GB"/>
        </w:rPr>
        <w:t xml:space="preserve">The </w:t>
      </w:r>
      <w:r w:rsidR="00FA5AE3">
        <w:rPr>
          <w:rFonts w:ascii="Verdana" w:hAnsi="Verdana"/>
          <w:color w:val="auto"/>
          <w:lang w:val="en-GB"/>
        </w:rPr>
        <w:t>Licensee</w:t>
      </w:r>
      <w:r w:rsidRPr="00FA5AE3">
        <w:rPr>
          <w:rFonts w:ascii="Verdana" w:hAnsi="Verdana"/>
          <w:color w:val="auto"/>
          <w:lang w:val="en-GB"/>
        </w:rPr>
        <w:t xml:space="preserve"> shall pay the Fees within thirty (30) days from VAT invoice receipt, </w:t>
      </w:r>
      <w:r w:rsidRPr="00FA5AE3">
        <w:rPr>
          <w:rFonts w:ascii="Verdana" w:hAnsi="Verdana"/>
          <w:i/>
          <w:iCs/>
          <w:color w:val="auto"/>
          <w:lang w:val="en-GB"/>
        </w:rPr>
        <w:t>via</w:t>
      </w:r>
      <w:r w:rsidRPr="00FA5AE3">
        <w:rPr>
          <w:rFonts w:ascii="Verdana" w:hAnsi="Verdana"/>
          <w:color w:val="auto"/>
          <w:lang w:val="en-GB"/>
        </w:rPr>
        <w:t xml:space="preserve"> bank transfer and split payment, to the Administrator’s bank account no.</w:t>
      </w:r>
      <w:r w:rsidR="00C64A77">
        <w:rPr>
          <w:rFonts w:ascii="Verdana" w:hAnsi="Verdana"/>
          <w:color w:val="auto"/>
          <w:lang w:val="en-GB"/>
        </w:rPr>
        <w:t> </w:t>
      </w:r>
      <w:r w:rsidRPr="00FA5AE3">
        <w:rPr>
          <w:rFonts w:ascii="Verdana" w:hAnsi="Verdana"/>
          <w:color w:val="auto"/>
          <w:lang w:val="en-GB"/>
        </w:rPr>
        <w:t>PL</w:t>
      </w:r>
      <w:r w:rsidR="00C64A77">
        <w:rPr>
          <w:rFonts w:ascii="Verdana" w:hAnsi="Verdana"/>
          <w:color w:val="auto"/>
          <w:lang w:val="en-GB"/>
        </w:rPr>
        <w:t> </w:t>
      </w:r>
      <w:r w:rsidRPr="00FA5AE3">
        <w:rPr>
          <w:rFonts w:ascii="Verdana" w:hAnsi="Verdana"/>
          <w:color w:val="auto"/>
          <w:lang w:val="en-GB"/>
        </w:rPr>
        <w:t>56124062181111001049098270, which is included on the White List of VAT Payers maintained by the Polish Minister of Finance.</w:t>
      </w:r>
    </w:p>
    <w:p w14:paraId="2E1ABCB2" w14:textId="6F323E67" w:rsidR="0092452F" w:rsidRPr="00FA5AE3" w:rsidRDefault="0092452F" w:rsidP="0092452F">
      <w:pPr>
        <w:pStyle w:val="Akapitzlist"/>
        <w:numPr>
          <w:ilvl w:val="0"/>
          <w:numId w:val="7"/>
        </w:numPr>
        <w:spacing w:after="0" w:line="360" w:lineRule="auto"/>
        <w:jc w:val="both"/>
        <w:rPr>
          <w:rFonts w:ascii="Verdana" w:hAnsi="Verdana"/>
          <w:color w:val="auto"/>
          <w:szCs w:val="18"/>
          <w:lang w:val="en-GB"/>
        </w:rPr>
      </w:pPr>
      <w:r w:rsidRPr="00FA5AE3">
        <w:rPr>
          <w:rFonts w:ascii="Verdana" w:hAnsi="Verdana"/>
          <w:color w:val="auto"/>
          <w:lang w:val="en-GB"/>
        </w:rPr>
        <w:t xml:space="preserve">The </w:t>
      </w:r>
      <w:r w:rsidR="00FA5AE3">
        <w:rPr>
          <w:rFonts w:ascii="Verdana" w:hAnsi="Verdana"/>
          <w:color w:val="auto"/>
          <w:lang w:val="en-GB"/>
        </w:rPr>
        <w:t>Licensee</w:t>
      </w:r>
      <w:r w:rsidRPr="00FA5AE3">
        <w:rPr>
          <w:rFonts w:ascii="Verdana" w:hAnsi="Verdana"/>
          <w:color w:val="auto"/>
          <w:lang w:val="en-GB"/>
        </w:rPr>
        <w:t xml:space="preserve"> shall make payments in the currency indicated in the VAT invoice. In the eventuality of making a Fee payment in a currency other than Polish zloty (PLN), the Fee amount shall be calculated at the average exchange rate of the National Bank of Poland (NBP) as of the working day preceding the date of VAT invoice issue.</w:t>
      </w:r>
    </w:p>
    <w:p w14:paraId="52C5D1E7" w14:textId="77777777" w:rsidR="0092452F" w:rsidRPr="00FA5AE3" w:rsidRDefault="0092452F" w:rsidP="0092452F">
      <w:pPr>
        <w:pStyle w:val="Akapitzlist"/>
        <w:numPr>
          <w:ilvl w:val="0"/>
          <w:numId w:val="7"/>
        </w:numPr>
        <w:spacing w:after="0" w:line="360" w:lineRule="auto"/>
        <w:jc w:val="both"/>
        <w:rPr>
          <w:rFonts w:ascii="Verdana" w:hAnsi="Verdana"/>
          <w:color w:val="auto"/>
          <w:szCs w:val="18"/>
          <w:lang w:val="en-GB"/>
        </w:rPr>
      </w:pPr>
      <w:r w:rsidRPr="00FA5AE3">
        <w:rPr>
          <w:rFonts w:ascii="Verdana" w:hAnsi="Verdana"/>
          <w:color w:val="auto"/>
          <w:lang w:val="en-GB"/>
        </w:rPr>
        <w:t>The date of Fee payment shall be the date when the Administrator’s bank account is credited with the Fee amount.</w:t>
      </w:r>
    </w:p>
    <w:p w14:paraId="0A127193" w14:textId="343B7485" w:rsidR="0092452F" w:rsidRPr="00FA5AE3" w:rsidRDefault="0092452F" w:rsidP="0092452F">
      <w:pPr>
        <w:pStyle w:val="Akapitzlist"/>
        <w:numPr>
          <w:ilvl w:val="0"/>
          <w:numId w:val="7"/>
        </w:numPr>
        <w:spacing w:after="0" w:line="360" w:lineRule="auto"/>
        <w:jc w:val="both"/>
        <w:rPr>
          <w:rFonts w:ascii="Verdana" w:hAnsi="Verdana"/>
          <w:color w:val="auto"/>
          <w:szCs w:val="18"/>
          <w:lang w:val="en-GB"/>
        </w:rPr>
      </w:pPr>
      <w:r w:rsidRPr="00FA5AE3">
        <w:rPr>
          <w:rFonts w:ascii="Verdana" w:hAnsi="Verdana"/>
          <w:color w:val="auto"/>
          <w:lang w:val="en-GB"/>
        </w:rPr>
        <w:t>Settlements of Fees and other amounts due paid by an entity acting on the basis of a power of</w:t>
      </w:r>
      <w:r w:rsidR="008B1A53">
        <w:rPr>
          <w:rFonts w:ascii="Verdana" w:hAnsi="Verdana"/>
          <w:color w:val="auto"/>
          <w:lang w:val="en-GB"/>
        </w:rPr>
        <w:t> </w:t>
      </w:r>
      <w:r w:rsidRPr="00FA5AE3">
        <w:rPr>
          <w:rFonts w:ascii="Verdana" w:hAnsi="Verdana"/>
          <w:color w:val="auto"/>
          <w:lang w:val="en-GB"/>
        </w:rPr>
        <w:t>representation granted by the Issuer shall constitute the object of a separate agreement made between these entities.</w:t>
      </w:r>
    </w:p>
    <w:p w14:paraId="009BC20A" w14:textId="53BE96DB" w:rsidR="0092452F" w:rsidRPr="00FA5AE3" w:rsidRDefault="0092452F" w:rsidP="0092452F">
      <w:pPr>
        <w:pStyle w:val="Akapitzlist"/>
        <w:numPr>
          <w:ilvl w:val="0"/>
          <w:numId w:val="7"/>
        </w:numPr>
        <w:spacing w:after="0" w:line="360" w:lineRule="auto"/>
        <w:jc w:val="both"/>
        <w:rPr>
          <w:rFonts w:ascii="Verdana" w:hAnsi="Verdana"/>
          <w:color w:val="auto"/>
          <w:szCs w:val="18"/>
          <w:lang w:val="en-GB"/>
        </w:rPr>
      </w:pPr>
      <w:r w:rsidRPr="00FA5AE3">
        <w:rPr>
          <w:rFonts w:ascii="Verdana" w:hAnsi="Verdana"/>
          <w:color w:val="auto"/>
          <w:lang w:val="en-GB"/>
        </w:rPr>
        <w:t xml:space="preserve">At the request of the </w:t>
      </w:r>
      <w:r w:rsidR="00FA5AE3">
        <w:rPr>
          <w:rFonts w:ascii="Verdana" w:hAnsi="Verdana"/>
          <w:color w:val="auto"/>
          <w:lang w:val="en-GB"/>
        </w:rPr>
        <w:t>Licensee</w:t>
      </w:r>
      <w:r w:rsidRPr="00FA5AE3">
        <w:rPr>
          <w:rFonts w:ascii="Verdana" w:hAnsi="Verdana"/>
          <w:color w:val="auto"/>
          <w:lang w:val="en-GB"/>
        </w:rPr>
        <w:t xml:space="preserve">, the Administrator shall present a valid certificate of tax residence in Poland and/or a declaration of beneficial owner status in Poland. </w:t>
      </w:r>
    </w:p>
    <w:p w14:paraId="726F9E7F" w14:textId="77777777" w:rsidR="0092452F" w:rsidRPr="00FA5AE3" w:rsidRDefault="0092452F" w:rsidP="0092452F">
      <w:pPr>
        <w:pStyle w:val="Akapitzlist"/>
        <w:numPr>
          <w:ilvl w:val="0"/>
          <w:numId w:val="7"/>
        </w:numPr>
        <w:spacing w:after="0" w:line="360" w:lineRule="auto"/>
        <w:jc w:val="both"/>
        <w:rPr>
          <w:rFonts w:ascii="Verdana" w:hAnsi="Verdana"/>
          <w:color w:val="auto"/>
          <w:szCs w:val="18"/>
          <w:lang w:val="en-GB"/>
        </w:rPr>
      </w:pPr>
      <w:r w:rsidRPr="00FA5AE3">
        <w:rPr>
          <w:rFonts w:ascii="Verdana" w:hAnsi="Verdana"/>
          <w:color w:val="auto"/>
          <w:lang w:val="en-GB"/>
        </w:rPr>
        <w:t>The Administrator is an active payer of the tax on goods and services (VAT) in Poland.</w:t>
      </w:r>
    </w:p>
    <w:p w14:paraId="3F205610" w14:textId="77777777" w:rsidR="0092452F" w:rsidRPr="00FA5AE3" w:rsidRDefault="0092452F" w:rsidP="0092452F">
      <w:pPr>
        <w:pStyle w:val="Akapitzlist"/>
        <w:spacing w:after="0" w:line="360" w:lineRule="auto"/>
        <w:jc w:val="both"/>
        <w:rPr>
          <w:rFonts w:ascii="Verdana" w:hAnsi="Verdana" w:cstheme="minorHAnsi"/>
          <w:b/>
          <w:bCs/>
          <w:color w:val="auto"/>
          <w:szCs w:val="18"/>
          <w:lang w:val="en-GB"/>
        </w:rPr>
      </w:pPr>
    </w:p>
    <w:p w14:paraId="569286CB" w14:textId="77777777" w:rsidR="0092452F" w:rsidRPr="00FA5AE3" w:rsidRDefault="0092452F" w:rsidP="0092452F">
      <w:pPr>
        <w:pStyle w:val="Akapitzlist"/>
        <w:spacing w:after="0" w:line="360" w:lineRule="auto"/>
        <w:jc w:val="center"/>
        <w:rPr>
          <w:rFonts w:ascii="Verdana" w:hAnsi="Verdana"/>
          <w:b/>
          <w:bCs/>
          <w:color w:val="auto"/>
          <w:szCs w:val="18"/>
          <w:lang w:val="en-GB"/>
        </w:rPr>
      </w:pPr>
      <w:r w:rsidRPr="00FA5AE3">
        <w:rPr>
          <w:rFonts w:ascii="Verdana" w:hAnsi="Verdana"/>
          <w:b/>
          <w:color w:val="auto"/>
          <w:lang w:val="en-GB"/>
        </w:rPr>
        <w:t>§ 5</w:t>
      </w:r>
    </w:p>
    <w:p w14:paraId="4E49F190" w14:textId="77777777" w:rsidR="0092452F" w:rsidRPr="00FA5AE3" w:rsidRDefault="0092452F" w:rsidP="0092452F">
      <w:pPr>
        <w:pStyle w:val="Akapitzlist"/>
        <w:spacing w:after="0" w:line="360" w:lineRule="auto"/>
        <w:jc w:val="center"/>
        <w:rPr>
          <w:rFonts w:ascii="Verdana" w:hAnsi="Verdana"/>
          <w:b/>
          <w:bCs/>
          <w:color w:val="auto"/>
          <w:szCs w:val="18"/>
          <w:lang w:val="en-GB"/>
        </w:rPr>
      </w:pPr>
      <w:r w:rsidRPr="00FA5AE3">
        <w:rPr>
          <w:rFonts w:ascii="Verdana" w:hAnsi="Verdana"/>
          <w:b/>
          <w:color w:val="auto"/>
          <w:lang w:val="en-GB"/>
        </w:rPr>
        <w:t>Effects of Delay in Fee Payment</w:t>
      </w:r>
    </w:p>
    <w:p w14:paraId="05C4F6A9" w14:textId="31B5CCD6" w:rsidR="0092452F" w:rsidRPr="00FA5AE3" w:rsidRDefault="0092452F" w:rsidP="0092452F">
      <w:pPr>
        <w:pStyle w:val="Akapitzlist"/>
        <w:numPr>
          <w:ilvl w:val="0"/>
          <w:numId w:val="8"/>
        </w:numPr>
        <w:spacing w:after="0" w:line="360" w:lineRule="auto"/>
        <w:jc w:val="both"/>
        <w:rPr>
          <w:rFonts w:ascii="Verdana" w:hAnsi="Verdana"/>
          <w:color w:val="auto"/>
          <w:szCs w:val="18"/>
          <w:lang w:val="en-GB"/>
        </w:rPr>
      </w:pPr>
      <w:r w:rsidRPr="00FA5AE3">
        <w:rPr>
          <w:rFonts w:ascii="Verdana" w:hAnsi="Verdana"/>
          <w:color w:val="auto"/>
          <w:lang w:val="en-GB"/>
        </w:rPr>
        <w:t xml:space="preserve">The Administrator shall be entitled to terminate a licence held by a </w:t>
      </w:r>
      <w:r w:rsidR="00FA5AE3">
        <w:rPr>
          <w:rFonts w:ascii="Verdana" w:hAnsi="Verdana"/>
          <w:color w:val="auto"/>
          <w:lang w:val="en-GB"/>
        </w:rPr>
        <w:t>Licensee</w:t>
      </w:r>
      <w:r w:rsidRPr="00FA5AE3">
        <w:rPr>
          <w:rFonts w:ascii="Verdana" w:hAnsi="Verdana"/>
          <w:color w:val="auto"/>
          <w:lang w:val="en-GB"/>
        </w:rPr>
        <w:t xml:space="preserve"> upon written notice, and shall have the right to notify the Warsaw Stock Exchange and the Central Securities Depository of Poland of any fee payment delay</w:t>
      </w:r>
      <w:r w:rsidR="00E73FFE">
        <w:rPr>
          <w:rFonts w:ascii="Verdana" w:hAnsi="Verdana"/>
          <w:color w:val="auto"/>
          <w:lang w:val="en-GB"/>
        </w:rPr>
        <w:t xml:space="preserve"> </w:t>
      </w:r>
      <w:r w:rsidRPr="00FA5AE3">
        <w:rPr>
          <w:rFonts w:ascii="Verdana" w:hAnsi="Verdana"/>
          <w:color w:val="auto"/>
          <w:lang w:val="en-GB"/>
        </w:rPr>
        <w:t xml:space="preserve">exceeding 60 days. </w:t>
      </w:r>
    </w:p>
    <w:p w14:paraId="70376099" w14:textId="22445CFA" w:rsidR="0092452F" w:rsidRPr="00FA5AE3" w:rsidRDefault="0092452F" w:rsidP="0092452F">
      <w:pPr>
        <w:pStyle w:val="Akapitzlist"/>
        <w:numPr>
          <w:ilvl w:val="0"/>
          <w:numId w:val="8"/>
        </w:numPr>
        <w:spacing w:after="0" w:line="360" w:lineRule="auto"/>
        <w:jc w:val="both"/>
        <w:rPr>
          <w:rFonts w:ascii="Verdana" w:hAnsi="Verdana"/>
          <w:color w:val="auto"/>
          <w:szCs w:val="18"/>
          <w:lang w:val="en-GB"/>
        </w:rPr>
      </w:pPr>
      <w:r w:rsidRPr="00FA5AE3">
        <w:rPr>
          <w:rFonts w:ascii="Verdana" w:hAnsi="Verdana"/>
          <w:color w:val="auto"/>
          <w:lang w:val="en-GB"/>
        </w:rPr>
        <w:lastRenderedPageBreak/>
        <w:t xml:space="preserve">The Administrator shall notify the </w:t>
      </w:r>
      <w:r w:rsidR="00FA5AE3">
        <w:rPr>
          <w:rFonts w:ascii="Verdana" w:hAnsi="Verdana"/>
          <w:color w:val="auto"/>
          <w:lang w:val="en-GB"/>
        </w:rPr>
        <w:t>Licensee</w:t>
      </w:r>
      <w:r w:rsidRPr="00FA5AE3">
        <w:rPr>
          <w:rFonts w:ascii="Verdana" w:hAnsi="Verdana"/>
          <w:color w:val="auto"/>
          <w:lang w:val="en-GB"/>
        </w:rPr>
        <w:t xml:space="preserve"> of the intention to exercise the right referred to</w:t>
      </w:r>
      <w:r w:rsidR="000E1C2D">
        <w:rPr>
          <w:rFonts w:ascii="Verdana" w:hAnsi="Verdana"/>
          <w:color w:val="auto"/>
          <w:lang w:val="en-GB"/>
        </w:rPr>
        <w:t> </w:t>
      </w:r>
      <w:r w:rsidRPr="00FA5AE3">
        <w:rPr>
          <w:rFonts w:ascii="Verdana" w:hAnsi="Verdana"/>
          <w:color w:val="auto"/>
          <w:lang w:val="en-GB"/>
        </w:rPr>
        <w:t>in</w:t>
      </w:r>
      <w:r w:rsidR="000E1C2D">
        <w:rPr>
          <w:rFonts w:ascii="Verdana" w:hAnsi="Verdana"/>
          <w:color w:val="auto"/>
          <w:lang w:val="en-GB"/>
        </w:rPr>
        <w:t> </w:t>
      </w:r>
      <w:r w:rsidRPr="00FA5AE3">
        <w:rPr>
          <w:rFonts w:ascii="Verdana" w:hAnsi="Verdana"/>
          <w:color w:val="auto"/>
          <w:lang w:val="en-GB"/>
        </w:rPr>
        <w:t>par. 1 fourteen (14) days in advance.</w:t>
      </w:r>
    </w:p>
    <w:p w14:paraId="1781B80F" w14:textId="77777777" w:rsidR="0092452F" w:rsidRPr="00FA5AE3" w:rsidRDefault="0092452F" w:rsidP="0092452F">
      <w:pPr>
        <w:pStyle w:val="Akapitzlist"/>
        <w:spacing w:after="0" w:line="360" w:lineRule="auto"/>
        <w:jc w:val="both"/>
        <w:rPr>
          <w:rFonts w:ascii="Verdana" w:hAnsi="Verdana"/>
          <w:color w:val="auto"/>
          <w:szCs w:val="18"/>
          <w:lang w:val="en-GB"/>
        </w:rPr>
      </w:pPr>
    </w:p>
    <w:p w14:paraId="667ECF45" w14:textId="77777777" w:rsidR="0092452F" w:rsidRPr="00FA5AE3" w:rsidRDefault="0092452F" w:rsidP="0092452F">
      <w:pPr>
        <w:spacing w:after="0" w:line="360" w:lineRule="auto"/>
        <w:jc w:val="center"/>
        <w:rPr>
          <w:rFonts w:ascii="Verdana" w:hAnsi="Verdana"/>
          <w:b/>
          <w:bCs/>
          <w:color w:val="auto"/>
          <w:szCs w:val="18"/>
          <w:lang w:val="en-GB"/>
        </w:rPr>
      </w:pPr>
      <w:r w:rsidRPr="00FA5AE3">
        <w:rPr>
          <w:rFonts w:ascii="Verdana" w:hAnsi="Verdana"/>
          <w:b/>
          <w:color w:val="auto"/>
          <w:lang w:val="en-GB"/>
        </w:rPr>
        <w:t>§ 6</w:t>
      </w:r>
    </w:p>
    <w:p w14:paraId="29E27045" w14:textId="77777777" w:rsidR="0092452F" w:rsidRPr="00FA5AE3" w:rsidRDefault="0092452F" w:rsidP="0092452F">
      <w:pPr>
        <w:spacing w:after="0" w:line="360" w:lineRule="auto"/>
        <w:jc w:val="center"/>
        <w:rPr>
          <w:rFonts w:ascii="Verdana" w:hAnsi="Verdana"/>
          <w:b/>
          <w:bCs/>
          <w:color w:val="auto"/>
          <w:szCs w:val="18"/>
          <w:lang w:val="en-GB"/>
        </w:rPr>
      </w:pPr>
      <w:r w:rsidRPr="00FA5AE3">
        <w:rPr>
          <w:rFonts w:ascii="Verdana" w:hAnsi="Verdana"/>
          <w:b/>
          <w:color w:val="auto"/>
          <w:lang w:val="en-GB"/>
        </w:rPr>
        <w:t xml:space="preserve">Liability </w:t>
      </w:r>
    </w:p>
    <w:p w14:paraId="6EF9D79D" w14:textId="77777777" w:rsidR="0092452F" w:rsidRPr="00FA5AE3" w:rsidRDefault="0092452F" w:rsidP="0092452F">
      <w:pPr>
        <w:pStyle w:val="Akapitzlist"/>
        <w:numPr>
          <w:ilvl w:val="3"/>
          <w:numId w:val="9"/>
        </w:numPr>
        <w:spacing w:after="0" w:line="360" w:lineRule="auto"/>
        <w:ind w:left="709"/>
        <w:jc w:val="both"/>
        <w:rPr>
          <w:rFonts w:ascii="Verdana" w:hAnsi="Verdana"/>
          <w:color w:val="auto"/>
          <w:szCs w:val="18"/>
          <w:lang w:val="en-GB"/>
        </w:rPr>
      </w:pPr>
      <w:r w:rsidRPr="00FA5AE3">
        <w:rPr>
          <w:rFonts w:ascii="Verdana" w:hAnsi="Verdana"/>
          <w:color w:val="auto"/>
          <w:lang w:val="en-GB"/>
        </w:rPr>
        <w:t>The Administrator shall not bear liability for:</w:t>
      </w:r>
    </w:p>
    <w:p w14:paraId="01D185FE" w14:textId="77777777" w:rsidR="0092452F" w:rsidRPr="00FA5AE3" w:rsidRDefault="0092452F" w:rsidP="0092452F">
      <w:pPr>
        <w:pStyle w:val="Akapitzlist"/>
        <w:numPr>
          <w:ilvl w:val="0"/>
          <w:numId w:val="11"/>
        </w:numPr>
        <w:spacing w:after="0" w:line="360" w:lineRule="auto"/>
        <w:jc w:val="both"/>
        <w:rPr>
          <w:rFonts w:ascii="Verdana" w:hAnsi="Verdana"/>
          <w:color w:val="auto"/>
          <w:szCs w:val="18"/>
          <w:lang w:val="en-GB"/>
        </w:rPr>
      </w:pPr>
      <w:r w:rsidRPr="00FA5AE3">
        <w:rPr>
          <w:rFonts w:ascii="Verdana" w:hAnsi="Verdana"/>
          <w:color w:val="auto"/>
          <w:lang w:val="en-GB"/>
        </w:rPr>
        <w:t>any loss resulting from any action which the Administrator is required to take in accordance with generally applicable law and/or the Documentation, as well as any loss resulting from any action taken as a result of opinions, recommendations or decisions of a competent authority,</w:t>
      </w:r>
    </w:p>
    <w:p w14:paraId="5E0E20BC" w14:textId="4EF9717B" w:rsidR="0092452F" w:rsidRPr="00FA5AE3" w:rsidRDefault="0092452F" w:rsidP="0092452F">
      <w:pPr>
        <w:pStyle w:val="Akapitzlist"/>
        <w:numPr>
          <w:ilvl w:val="0"/>
          <w:numId w:val="11"/>
        </w:numPr>
        <w:spacing w:after="0" w:line="360" w:lineRule="auto"/>
        <w:jc w:val="both"/>
        <w:rPr>
          <w:rFonts w:ascii="Verdana" w:hAnsi="Verdana"/>
          <w:color w:val="auto"/>
          <w:szCs w:val="18"/>
          <w:lang w:val="en-GB"/>
        </w:rPr>
      </w:pPr>
      <w:r w:rsidRPr="00FA5AE3">
        <w:rPr>
          <w:rFonts w:ascii="Verdana" w:hAnsi="Verdana"/>
          <w:color w:val="auto"/>
          <w:lang w:val="en-GB"/>
        </w:rPr>
        <w:t>its inability to provide the Benchmarks caused by any action of third parties or external forces, and for any errors, delays and inaccuracies of the Benchmarks, as well as</w:t>
      </w:r>
      <w:r w:rsidR="00361EDC">
        <w:rPr>
          <w:rFonts w:ascii="Verdana" w:hAnsi="Verdana"/>
          <w:color w:val="auto"/>
          <w:lang w:val="en-GB"/>
        </w:rPr>
        <w:t> </w:t>
      </w:r>
      <w:r w:rsidRPr="00FA5AE3">
        <w:rPr>
          <w:rFonts w:ascii="Verdana" w:hAnsi="Verdana"/>
          <w:color w:val="auto"/>
          <w:lang w:val="en-GB"/>
        </w:rPr>
        <w:t>the</w:t>
      </w:r>
      <w:r w:rsidR="00361EDC">
        <w:rPr>
          <w:rFonts w:ascii="Verdana" w:hAnsi="Verdana"/>
          <w:color w:val="auto"/>
          <w:lang w:val="en-GB"/>
        </w:rPr>
        <w:t> </w:t>
      </w:r>
      <w:r w:rsidRPr="00FA5AE3">
        <w:rPr>
          <w:rFonts w:ascii="Verdana" w:hAnsi="Verdana"/>
          <w:color w:val="auto"/>
          <w:lang w:val="en-GB"/>
        </w:rPr>
        <w:t>resulting loss, unless such loss is the result of a culpable action or a neglect of</w:t>
      </w:r>
      <w:r w:rsidR="00361EDC">
        <w:rPr>
          <w:rFonts w:ascii="Verdana" w:hAnsi="Verdana"/>
          <w:color w:val="auto"/>
          <w:lang w:val="en-GB"/>
        </w:rPr>
        <w:t> </w:t>
      </w:r>
      <w:r w:rsidRPr="00FA5AE3">
        <w:rPr>
          <w:rFonts w:ascii="Verdana" w:hAnsi="Verdana"/>
          <w:color w:val="auto"/>
          <w:lang w:val="en-GB"/>
        </w:rPr>
        <w:t>the</w:t>
      </w:r>
      <w:r w:rsidR="00361EDC">
        <w:rPr>
          <w:rFonts w:ascii="Verdana" w:hAnsi="Verdana"/>
          <w:color w:val="auto"/>
          <w:lang w:val="en-GB"/>
        </w:rPr>
        <w:t> </w:t>
      </w:r>
      <w:r w:rsidRPr="00FA5AE3">
        <w:rPr>
          <w:rFonts w:ascii="Verdana" w:hAnsi="Verdana"/>
          <w:color w:val="auto"/>
          <w:lang w:val="en-GB"/>
        </w:rPr>
        <w:t>Administrator,</w:t>
      </w:r>
    </w:p>
    <w:p w14:paraId="5F0AC6BB" w14:textId="16A522A0" w:rsidR="0092452F" w:rsidRPr="00FA5AE3" w:rsidRDefault="0092452F" w:rsidP="0092452F">
      <w:pPr>
        <w:pStyle w:val="Akapitzlist"/>
        <w:numPr>
          <w:ilvl w:val="0"/>
          <w:numId w:val="11"/>
        </w:numPr>
        <w:spacing w:after="0" w:line="360" w:lineRule="auto"/>
        <w:jc w:val="both"/>
        <w:rPr>
          <w:rFonts w:ascii="Verdana" w:hAnsi="Verdana"/>
          <w:color w:val="auto"/>
          <w:szCs w:val="18"/>
          <w:lang w:val="en-GB"/>
        </w:rPr>
      </w:pPr>
      <w:r w:rsidRPr="00FA5AE3">
        <w:rPr>
          <w:rFonts w:ascii="Verdana" w:hAnsi="Verdana"/>
          <w:color w:val="auto"/>
          <w:lang w:val="en-GB"/>
        </w:rPr>
        <w:t xml:space="preserve">any loss resulting from the </w:t>
      </w:r>
      <w:r w:rsidR="00FA5AE3">
        <w:rPr>
          <w:rFonts w:ascii="Verdana" w:hAnsi="Verdana"/>
          <w:color w:val="auto"/>
          <w:lang w:val="en-GB"/>
        </w:rPr>
        <w:t>Licensee</w:t>
      </w:r>
      <w:r w:rsidRPr="00FA5AE3">
        <w:rPr>
          <w:rFonts w:ascii="Verdana" w:hAnsi="Verdana"/>
          <w:color w:val="auto"/>
          <w:lang w:val="en-GB"/>
        </w:rPr>
        <w:t>’s use of Benchmarks provided by the Administrator, in</w:t>
      </w:r>
      <w:r w:rsidR="00361EDC">
        <w:rPr>
          <w:rFonts w:ascii="Verdana" w:hAnsi="Verdana"/>
          <w:color w:val="auto"/>
          <w:lang w:val="en-GB"/>
        </w:rPr>
        <w:t> </w:t>
      </w:r>
      <w:r w:rsidRPr="00FA5AE3">
        <w:rPr>
          <w:rFonts w:ascii="Verdana" w:hAnsi="Verdana"/>
          <w:color w:val="auto"/>
          <w:lang w:val="en-GB"/>
        </w:rPr>
        <w:t>particular for any claims connected with any issued debt securities for which the selected Benchmarks serve as a reference,</w:t>
      </w:r>
    </w:p>
    <w:p w14:paraId="3B76DD22" w14:textId="2C46C391" w:rsidR="0092452F" w:rsidRPr="00FA5AE3" w:rsidRDefault="0092452F" w:rsidP="0092452F">
      <w:pPr>
        <w:pStyle w:val="Akapitzlist"/>
        <w:numPr>
          <w:ilvl w:val="0"/>
          <w:numId w:val="11"/>
        </w:numPr>
        <w:spacing w:after="0" w:line="360" w:lineRule="auto"/>
        <w:jc w:val="both"/>
        <w:rPr>
          <w:rFonts w:ascii="Verdana" w:hAnsi="Verdana"/>
          <w:color w:val="auto"/>
          <w:szCs w:val="18"/>
          <w:lang w:val="en-GB"/>
        </w:rPr>
      </w:pPr>
      <w:r w:rsidRPr="00FA5AE3">
        <w:rPr>
          <w:rFonts w:ascii="Verdana" w:hAnsi="Verdana"/>
          <w:color w:val="auto"/>
          <w:lang w:val="en-GB"/>
        </w:rPr>
        <w:t>any loss arising in connection with the using and applying of the Benchmarks resulting from such events as mechanical, electric or transmission failure, power outage, operation of</w:t>
      </w:r>
      <w:r w:rsidR="00361EDC">
        <w:rPr>
          <w:rFonts w:ascii="Verdana" w:hAnsi="Verdana"/>
          <w:color w:val="auto"/>
          <w:lang w:val="en-GB"/>
        </w:rPr>
        <w:t> </w:t>
      </w:r>
      <w:r w:rsidRPr="00FA5AE3">
        <w:rPr>
          <w:rFonts w:ascii="Verdana" w:hAnsi="Verdana"/>
          <w:color w:val="auto"/>
          <w:lang w:val="en-GB"/>
        </w:rPr>
        <w:t>computer hardware or software and other devices, unless such loss arises from a</w:t>
      </w:r>
      <w:r w:rsidR="00361EDC">
        <w:rPr>
          <w:rFonts w:ascii="Verdana" w:hAnsi="Verdana"/>
          <w:color w:val="auto"/>
          <w:lang w:val="en-GB"/>
        </w:rPr>
        <w:t> </w:t>
      </w:r>
      <w:r w:rsidRPr="00FA5AE3">
        <w:rPr>
          <w:rFonts w:ascii="Verdana" w:hAnsi="Verdana"/>
          <w:color w:val="auto"/>
          <w:lang w:val="en-GB"/>
        </w:rPr>
        <w:t>culpable action or a neglect of the Administrator,</w:t>
      </w:r>
    </w:p>
    <w:p w14:paraId="5A0E3C17" w14:textId="68C0557D" w:rsidR="0092452F" w:rsidRPr="00FA5AE3" w:rsidRDefault="0092452F" w:rsidP="00361EDC">
      <w:pPr>
        <w:pStyle w:val="Akapitzlist"/>
        <w:numPr>
          <w:ilvl w:val="0"/>
          <w:numId w:val="11"/>
        </w:numPr>
        <w:spacing w:after="0" w:line="360" w:lineRule="auto"/>
        <w:jc w:val="both"/>
        <w:rPr>
          <w:rFonts w:ascii="Verdana" w:hAnsi="Verdana"/>
          <w:color w:val="auto"/>
          <w:szCs w:val="18"/>
          <w:lang w:val="en-GB"/>
        </w:rPr>
      </w:pPr>
      <w:r w:rsidRPr="00FA5AE3">
        <w:rPr>
          <w:rFonts w:ascii="Verdana" w:hAnsi="Verdana"/>
          <w:color w:val="auto"/>
          <w:lang w:val="en-GB"/>
        </w:rPr>
        <w:t>any loss resulting from the using and applying of Benchmarks beyond the scope of</w:t>
      </w:r>
      <w:r w:rsidR="00361EDC">
        <w:rPr>
          <w:rFonts w:ascii="Verdana" w:hAnsi="Verdana"/>
          <w:color w:val="auto"/>
          <w:lang w:val="en-GB"/>
        </w:rPr>
        <w:t> </w:t>
      </w:r>
      <w:r w:rsidRPr="00FA5AE3">
        <w:rPr>
          <w:rFonts w:ascii="Verdana" w:hAnsi="Verdana"/>
          <w:color w:val="auto"/>
          <w:lang w:val="en-GB"/>
        </w:rPr>
        <w:t>the</w:t>
      </w:r>
      <w:r w:rsidR="00361EDC">
        <w:rPr>
          <w:rFonts w:ascii="Verdana" w:hAnsi="Verdana"/>
          <w:color w:val="auto"/>
          <w:lang w:val="en-GB"/>
        </w:rPr>
        <w:t> </w:t>
      </w:r>
      <w:r w:rsidRPr="00FA5AE3">
        <w:rPr>
          <w:rFonts w:ascii="Verdana" w:hAnsi="Verdana"/>
          <w:color w:val="auto"/>
          <w:lang w:val="en-GB"/>
        </w:rPr>
        <w:t>Licence,</w:t>
      </w:r>
    </w:p>
    <w:p w14:paraId="6F2416EB" w14:textId="77777777" w:rsidR="0092452F" w:rsidRPr="00FA5AE3" w:rsidRDefault="0092452F" w:rsidP="0092452F">
      <w:pPr>
        <w:pStyle w:val="Akapitzlist"/>
        <w:numPr>
          <w:ilvl w:val="0"/>
          <w:numId w:val="11"/>
        </w:numPr>
        <w:spacing w:after="0" w:line="360" w:lineRule="auto"/>
        <w:jc w:val="both"/>
        <w:rPr>
          <w:rFonts w:ascii="Verdana" w:hAnsi="Verdana"/>
          <w:color w:val="auto"/>
          <w:szCs w:val="18"/>
          <w:lang w:val="en-GB"/>
        </w:rPr>
      </w:pPr>
      <w:r w:rsidRPr="00FA5AE3">
        <w:rPr>
          <w:rFonts w:ascii="Verdana" w:hAnsi="Verdana"/>
          <w:color w:val="auto"/>
          <w:lang w:val="en-GB"/>
        </w:rPr>
        <w:t>any loss caused by an external event of extraordinary nature which cannot be reasonably foreseen and whose effects cannot be prevented in spite of all customary due diligence and which is beyond the control of the Administrator.</w:t>
      </w:r>
    </w:p>
    <w:p w14:paraId="56902A09" w14:textId="6AE515D0" w:rsidR="0092452F" w:rsidRPr="00FA5AE3" w:rsidRDefault="0092452F" w:rsidP="00361EDC">
      <w:pPr>
        <w:pStyle w:val="Akapitzlist"/>
        <w:numPr>
          <w:ilvl w:val="3"/>
          <w:numId w:val="9"/>
        </w:numPr>
        <w:spacing w:after="0" w:line="360" w:lineRule="auto"/>
        <w:ind w:left="709" w:hanging="567"/>
        <w:jc w:val="both"/>
        <w:rPr>
          <w:rFonts w:ascii="Verdana" w:hAnsi="Verdana"/>
          <w:color w:val="auto"/>
          <w:szCs w:val="18"/>
          <w:lang w:val="en-GB"/>
        </w:rPr>
      </w:pPr>
      <w:r w:rsidRPr="00FA5AE3">
        <w:rPr>
          <w:rFonts w:ascii="Verdana" w:hAnsi="Verdana"/>
          <w:color w:val="auto"/>
          <w:lang w:val="en-GB"/>
        </w:rPr>
        <w:t xml:space="preserve">The liability of the </w:t>
      </w:r>
      <w:r w:rsidR="00FA5AE3">
        <w:rPr>
          <w:rFonts w:ascii="Verdana" w:hAnsi="Verdana"/>
          <w:color w:val="auto"/>
          <w:lang w:val="en-GB"/>
        </w:rPr>
        <w:t>Licensee</w:t>
      </w:r>
      <w:r w:rsidRPr="00FA5AE3">
        <w:rPr>
          <w:rFonts w:ascii="Verdana" w:hAnsi="Verdana"/>
          <w:color w:val="auto"/>
          <w:lang w:val="en-GB"/>
        </w:rPr>
        <w:t xml:space="preserve"> for failure to perform or undue performance of the licencing terms shall be limited to any loss directly resulting from an action or omission, whereby liability for</w:t>
      </w:r>
      <w:r w:rsidR="00361EDC">
        <w:rPr>
          <w:rFonts w:ascii="Verdana" w:hAnsi="Verdana"/>
          <w:color w:val="auto"/>
          <w:lang w:val="en-GB"/>
        </w:rPr>
        <w:t> </w:t>
      </w:r>
      <w:r w:rsidRPr="00FA5AE3">
        <w:rPr>
          <w:rFonts w:ascii="Verdana" w:hAnsi="Verdana"/>
          <w:color w:val="auto"/>
          <w:lang w:val="en-GB"/>
        </w:rPr>
        <w:t>any indirect, hypothetical and consequential losses, including loss of expected profits, shall be</w:t>
      </w:r>
      <w:r w:rsidR="00361EDC">
        <w:rPr>
          <w:rFonts w:ascii="Verdana" w:hAnsi="Verdana"/>
          <w:color w:val="auto"/>
          <w:lang w:val="en-GB"/>
        </w:rPr>
        <w:t> </w:t>
      </w:r>
      <w:r w:rsidRPr="00FA5AE3">
        <w:rPr>
          <w:rFonts w:ascii="Verdana" w:hAnsi="Verdana"/>
          <w:color w:val="auto"/>
          <w:lang w:val="en-GB"/>
        </w:rPr>
        <w:t xml:space="preserve">excluded. The liability of the Administrator resulting from failure to perform or undue performance of the licencing terms is identical to the liability of the </w:t>
      </w:r>
      <w:r w:rsidR="00FA5AE3">
        <w:rPr>
          <w:rFonts w:ascii="Verdana" w:hAnsi="Verdana"/>
          <w:color w:val="auto"/>
          <w:lang w:val="en-GB"/>
        </w:rPr>
        <w:t>Licensee</w:t>
      </w:r>
      <w:r w:rsidRPr="00FA5AE3">
        <w:rPr>
          <w:rFonts w:ascii="Verdana" w:hAnsi="Verdana"/>
          <w:color w:val="auto"/>
          <w:lang w:val="en-GB"/>
        </w:rPr>
        <w:t xml:space="preserve"> referred to</w:t>
      </w:r>
      <w:r w:rsidR="00361EDC">
        <w:rPr>
          <w:rFonts w:ascii="Verdana" w:hAnsi="Verdana"/>
          <w:color w:val="auto"/>
          <w:lang w:val="en-GB"/>
        </w:rPr>
        <w:t> </w:t>
      </w:r>
      <w:r w:rsidRPr="00FA5AE3">
        <w:rPr>
          <w:rFonts w:ascii="Verdana" w:hAnsi="Verdana"/>
          <w:color w:val="auto"/>
          <w:lang w:val="en-GB"/>
        </w:rPr>
        <w:t>in</w:t>
      </w:r>
      <w:r w:rsidR="00361EDC">
        <w:rPr>
          <w:rFonts w:ascii="Verdana" w:hAnsi="Verdana"/>
          <w:color w:val="auto"/>
          <w:lang w:val="en-GB"/>
        </w:rPr>
        <w:t> </w:t>
      </w:r>
      <w:r w:rsidRPr="00FA5AE3">
        <w:rPr>
          <w:rFonts w:ascii="Verdana" w:hAnsi="Verdana"/>
          <w:color w:val="auto"/>
          <w:lang w:val="en-GB"/>
        </w:rPr>
        <w:t>the</w:t>
      </w:r>
      <w:r w:rsidR="00361EDC">
        <w:rPr>
          <w:rFonts w:ascii="Verdana" w:hAnsi="Verdana"/>
          <w:color w:val="auto"/>
          <w:lang w:val="en-GB"/>
        </w:rPr>
        <w:t> </w:t>
      </w:r>
      <w:r w:rsidRPr="00FA5AE3">
        <w:rPr>
          <w:rFonts w:ascii="Verdana" w:hAnsi="Verdana"/>
          <w:color w:val="auto"/>
          <w:lang w:val="en-GB"/>
        </w:rPr>
        <w:t>first sentence.</w:t>
      </w:r>
    </w:p>
    <w:p w14:paraId="73A96E10" w14:textId="5E94EF6A" w:rsidR="0092452F" w:rsidRPr="000E1C2D" w:rsidRDefault="0092452F" w:rsidP="00361EDC">
      <w:pPr>
        <w:pStyle w:val="Akapitzlist"/>
        <w:numPr>
          <w:ilvl w:val="3"/>
          <w:numId w:val="9"/>
        </w:numPr>
        <w:spacing w:after="0" w:line="360" w:lineRule="auto"/>
        <w:ind w:left="709" w:hanging="567"/>
        <w:jc w:val="both"/>
        <w:rPr>
          <w:rFonts w:ascii="Verdana" w:hAnsi="Verdana"/>
          <w:color w:val="auto"/>
          <w:szCs w:val="18"/>
          <w:lang w:val="en-GB"/>
        </w:rPr>
      </w:pPr>
      <w:r w:rsidRPr="00FA5AE3">
        <w:rPr>
          <w:rFonts w:ascii="Verdana" w:hAnsi="Verdana"/>
          <w:color w:val="auto"/>
          <w:lang w:val="en-GB"/>
        </w:rPr>
        <w:t>With the exception of the obligation to make Fee payment</w:t>
      </w:r>
      <w:r w:rsidR="00361EDC">
        <w:rPr>
          <w:rFonts w:ascii="Verdana" w:hAnsi="Verdana"/>
          <w:color w:val="auto"/>
          <w:lang w:val="en-GB"/>
        </w:rPr>
        <w:t>s</w:t>
      </w:r>
      <w:r w:rsidRPr="00FA5AE3">
        <w:rPr>
          <w:rFonts w:ascii="Verdana" w:hAnsi="Verdana"/>
          <w:color w:val="auto"/>
          <w:lang w:val="en-GB"/>
        </w:rPr>
        <w:t xml:space="preserve"> and with the exclusion of claims made in connection with an infringement of intellectual property rights, the liability of</w:t>
      </w:r>
      <w:r w:rsidR="00361EDC">
        <w:rPr>
          <w:rFonts w:ascii="Verdana" w:hAnsi="Verdana"/>
          <w:color w:val="auto"/>
          <w:lang w:val="en-GB"/>
        </w:rPr>
        <w:t> </w:t>
      </w:r>
      <w:r w:rsidRPr="00FA5AE3">
        <w:rPr>
          <w:rFonts w:ascii="Verdana" w:hAnsi="Verdana"/>
          <w:color w:val="auto"/>
          <w:lang w:val="en-GB"/>
        </w:rPr>
        <w:t>the</w:t>
      </w:r>
      <w:r w:rsidR="00361EDC">
        <w:rPr>
          <w:rFonts w:ascii="Verdana" w:hAnsi="Verdana"/>
          <w:color w:val="auto"/>
          <w:lang w:val="en-GB"/>
        </w:rPr>
        <w:t> </w:t>
      </w:r>
      <w:r w:rsidR="00FA5AE3">
        <w:rPr>
          <w:rFonts w:ascii="Verdana" w:hAnsi="Verdana"/>
          <w:color w:val="auto"/>
          <w:lang w:val="en-GB"/>
        </w:rPr>
        <w:t>Licensee</w:t>
      </w:r>
      <w:r w:rsidRPr="00FA5AE3">
        <w:rPr>
          <w:rFonts w:ascii="Verdana" w:hAnsi="Verdana"/>
          <w:color w:val="auto"/>
          <w:lang w:val="en-GB"/>
        </w:rPr>
        <w:t xml:space="preserve"> shall be limited to the sum of Fees paid for the year in which the loss event occurs. </w:t>
      </w:r>
    </w:p>
    <w:p w14:paraId="724DFFDB" w14:textId="77777777" w:rsidR="000E1C2D" w:rsidRPr="00FA5AE3" w:rsidRDefault="000E1C2D" w:rsidP="000E1C2D">
      <w:pPr>
        <w:pStyle w:val="Akapitzlist"/>
        <w:spacing w:after="0" w:line="360" w:lineRule="auto"/>
        <w:ind w:left="993"/>
        <w:jc w:val="both"/>
        <w:rPr>
          <w:rFonts w:ascii="Verdana" w:hAnsi="Verdana"/>
          <w:color w:val="auto"/>
          <w:szCs w:val="18"/>
          <w:lang w:val="en-GB"/>
        </w:rPr>
      </w:pPr>
    </w:p>
    <w:p w14:paraId="45F05100" w14:textId="77777777" w:rsidR="0092452F" w:rsidRPr="00FA5AE3" w:rsidRDefault="0092452F" w:rsidP="0092452F">
      <w:pPr>
        <w:spacing w:after="0" w:line="360" w:lineRule="auto"/>
        <w:jc w:val="center"/>
        <w:rPr>
          <w:rFonts w:ascii="Verdana" w:hAnsi="Verdana"/>
          <w:b/>
          <w:bCs/>
          <w:color w:val="auto"/>
          <w:szCs w:val="18"/>
          <w:lang w:val="en-GB"/>
        </w:rPr>
      </w:pPr>
      <w:r w:rsidRPr="00FA5AE3">
        <w:rPr>
          <w:rFonts w:ascii="Verdana" w:hAnsi="Verdana"/>
          <w:b/>
          <w:color w:val="auto"/>
          <w:lang w:val="en-GB"/>
        </w:rPr>
        <w:t>§ 7</w:t>
      </w:r>
    </w:p>
    <w:p w14:paraId="2F604A23" w14:textId="77777777" w:rsidR="0092452F" w:rsidRPr="00FA5AE3" w:rsidRDefault="0092452F" w:rsidP="0092452F">
      <w:pPr>
        <w:pStyle w:val="Akapitzlist"/>
        <w:spacing w:after="0" w:line="360" w:lineRule="auto"/>
        <w:jc w:val="center"/>
        <w:rPr>
          <w:rFonts w:ascii="Verdana" w:hAnsi="Verdana"/>
          <w:b/>
          <w:bCs/>
          <w:color w:val="auto"/>
          <w:szCs w:val="18"/>
          <w:lang w:val="en-GB"/>
        </w:rPr>
      </w:pPr>
      <w:r w:rsidRPr="00FA5AE3">
        <w:rPr>
          <w:rFonts w:ascii="Verdana" w:hAnsi="Verdana"/>
          <w:b/>
          <w:color w:val="auto"/>
          <w:lang w:val="en-GB"/>
        </w:rPr>
        <w:t xml:space="preserve">Termination of Licence </w:t>
      </w:r>
    </w:p>
    <w:p w14:paraId="1C08F217" w14:textId="5E587A75" w:rsidR="0092452F" w:rsidRPr="00FA5AE3" w:rsidRDefault="0092452F" w:rsidP="00361EDC">
      <w:pPr>
        <w:pStyle w:val="Akapitzlist"/>
        <w:numPr>
          <w:ilvl w:val="3"/>
          <w:numId w:val="11"/>
        </w:numPr>
        <w:spacing w:after="0" w:line="360" w:lineRule="auto"/>
        <w:ind w:left="709" w:hanging="425"/>
        <w:jc w:val="both"/>
        <w:rPr>
          <w:rFonts w:ascii="Verdana" w:hAnsi="Verdana"/>
          <w:color w:val="auto"/>
          <w:szCs w:val="18"/>
          <w:lang w:val="en-GB"/>
        </w:rPr>
      </w:pPr>
      <w:r w:rsidRPr="00FA5AE3">
        <w:rPr>
          <w:rFonts w:ascii="Verdana" w:hAnsi="Verdana"/>
          <w:color w:val="auto"/>
          <w:lang w:val="en-GB"/>
        </w:rPr>
        <w:t>A licence shall terminate on the day when the Administrator ceases to provide the licenced Benchmark under the terms and conditions set forth in the Documentation. Due to licence termination, any fees paid in advance shall be refunded pro rata to the number of months in</w:t>
      </w:r>
      <w:r w:rsidR="00361EDC">
        <w:rPr>
          <w:rFonts w:ascii="Verdana" w:hAnsi="Verdana"/>
          <w:color w:val="auto"/>
          <w:lang w:val="en-GB"/>
        </w:rPr>
        <w:t> </w:t>
      </w:r>
      <w:r w:rsidRPr="00FA5AE3">
        <w:rPr>
          <w:rFonts w:ascii="Verdana" w:hAnsi="Verdana"/>
          <w:color w:val="auto"/>
          <w:lang w:val="en-GB"/>
        </w:rPr>
        <w:t>the</w:t>
      </w:r>
      <w:r w:rsidR="00361EDC">
        <w:rPr>
          <w:rFonts w:ascii="Verdana" w:hAnsi="Verdana"/>
          <w:color w:val="auto"/>
          <w:lang w:val="en-GB"/>
        </w:rPr>
        <w:t> </w:t>
      </w:r>
      <w:r w:rsidRPr="00FA5AE3">
        <w:rPr>
          <w:rFonts w:ascii="Verdana" w:hAnsi="Verdana"/>
          <w:color w:val="auto"/>
          <w:lang w:val="en-GB"/>
        </w:rPr>
        <w:t>period from licence termination to the end of the period for which a given Fee is paid.</w:t>
      </w:r>
    </w:p>
    <w:p w14:paraId="1E3C19E0" w14:textId="64EB721C" w:rsidR="0092452F" w:rsidRPr="00FA5AE3" w:rsidRDefault="0092452F" w:rsidP="00361EDC">
      <w:pPr>
        <w:pStyle w:val="Akapitzlist"/>
        <w:numPr>
          <w:ilvl w:val="3"/>
          <w:numId w:val="11"/>
        </w:numPr>
        <w:spacing w:after="0" w:line="360" w:lineRule="auto"/>
        <w:ind w:left="709" w:hanging="425"/>
        <w:jc w:val="both"/>
        <w:rPr>
          <w:rFonts w:ascii="Verdana" w:hAnsi="Verdana"/>
          <w:color w:val="auto"/>
          <w:szCs w:val="18"/>
          <w:lang w:val="en-GB"/>
        </w:rPr>
      </w:pPr>
      <w:r w:rsidRPr="00FA5AE3">
        <w:rPr>
          <w:rFonts w:ascii="Verdana" w:hAnsi="Verdana"/>
          <w:color w:val="auto"/>
          <w:lang w:val="en-GB"/>
        </w:rPr>
        <w:lastRenderedPageBreak/>
        <w:t>Insofar as the replacement Benchmark is a Benchmark provided by the Administrator, the</w:t>
      </w:r>
      <w:r w:rsidR="00361EDC">
        <w:rPr>
          <w:rFonts w:ascii="Verdana" w:hAnsi="Verdana"/>
          <w:color w:val="auto"/>
          <w:lang w:val="en-GB"/>
        </w:rPr>
        <w:t> </w:t>
      </w:r>
      <w:r w:rsidRPr="00FA5AE3">
        <w:rPr>
          <w:rFonts w:ascii="Verdana" w:hAnsi="Verdana"/>
          <w:color w:val="auto"/>
          <w:lang w:val="en-GB"/>
        </w:rPr>
        <w:t>licence shall not terminate automatically in the event of a statutory Benchmark replacement conducted on the basis of generally applicable law.</w:t>
      </w:r>
    </w:p>
    <w:p w14:paraId="02B95EBA" w14:textId="0B9114E6" w:rsidR="0092452F" w:rsidRPr="00FA5AE3" w:rsidRDefault="0092452F" w:rsidP="00361EDC">
      <w:pPr>
        <w:pStyle w:val="Akapitzlist"/>
        <w:numPr>
          <w:ilvl w:val="3"/>
          <w:numId w:val="11"/>
        </w:numPr>
        <w:spacing w:after="0" w:line="360" w:lineRule="auto"/>
        <w:ind w:left="709" w:hanging="425"/>
        <w:jc w:val="both"/>
        <w:rPr>
          <w:rFonts w:ascii="Verdana" w:hAnsi="Verdana"/>
          <w:color w:val="auto"/>
          <w:szCs w:val="18"/>
          <w:lang w:val="en-GB"/>
        </w:rPr>
      </w:pPr>
      <w:r w:rsidRPr="00FA5AE3">
        <w:rPr>
          <w:rFonts w:ascii="Verdana" w:hAnsi="Verdana"/>
          <w:color w:val="auto"/>
          <w:lang w:val="en-GB"/>
        </w:rPr>
        <w:t>Insofar as the replacement Benchmark is a Benchmark provided by the Administrator and</w:t>
      </w:r>
      <w:r w:rsidR="00E3530F">
        <w:rPr>
          <w:rFonts w:ascii="Verdana" w:hAnsi="Verdana"/>
          <w:color w:val="auto"/>
          <w:lang w:val="en-GB"/>
        </w:rPr>
        <w:t xml:space="preserve"> </w:t>
      </w:r>
      <w:r w:rsidRPr="00FA5AE3">
        <w:rPr>
          <w:rFonts w:ascii="Verdana" w:hAnsi="Verdana"/>
          <w:color w:val="auto"/>
          <w:lang w:val="en-GB"/>
        </w:rPr>
        <w:t xml:space="preserve">on condition that point 3.3. of the Statement constituting Appendix 1 hereto is updated, the licence shall not terminate automatically in the event of a Benchmark replacement conducted on the basis of </w:t>
      </w:r>
      <w:r w:rsidR="000E1C2D">
        <w:rPr>
          <w:rFonts w:ascii="Verdana" w:hAnsi="Verdana"/>
          <w:color w:val="auto"/>
          <w:lang w:val="en-GB"/>
        </w:rPr>
        <w:t xml:space="preserve">legal </w:t>
      </w:r>
      <w:r w:rsidRPr="00FA5AE3">
        <w:rPr>
          <w:rFonts w:ascii="Verdana" w:hAnsi="Verdana"/>
          <w:color w:val="auto"/>
          <w:lang w:val="en-GB"/>
        </w:rPr>
        <w:t>provisions regulating Issuer actions after discontinuing a</w:t>
      </w:r>
      <w:r w:rsidR="00361EDC">
        <w:rPr>
          <w:rFonts w:ascii="Verdana" w:hAnsi="Verdana"/>
          <w:color w:val="auto"/>
          <w:lang w:val="en-GB"/>
        </w:rPr>
        <w:t> </w:t>
      </w:r>
      <w:r w:rsidRPr="00FA5AE3">
        <w:rPr>
          <w:rFonts w:ascii="Verdana" w:hAnsi="Verdana"/>
          <w:color w:val="auto"/>
          <w:lang w:val="en-GB"/>
        </w:rPr>
        <w:t xml:space="preserve">given Benchmark. </w:t>
      </w:r>
    </w:p>
    <w:p w14:paraId="1C73A977" w14:textId="77777777" w:rsidR="0092452F" w:rsidRPr="00FA5AE3" w:rsidRDefault="0092452F" w:rsidP="00361EDC">
      <w:pPr>
        <w:pStyle w:val="Akapitzlist"/>
        <w:numPr>
          <w:ilvl w:val="3"/>
          <w:numId w:val="11"/>
        </w:numPr>
        <w:spacing w:after="0" w:line="360" w:lineRule="auto"/>
        <w:ind w:left="709" w:hanging="425"/>
        <w:jc w:val="both"/>
        <w:rPr>
          <w:rFonts w:ascii="Verdana" w:hAnsi="Verdana"/>
          <w:color w:val="auto"/>
          <w:szCs w:val="18"/>
          <w:lang w:val="en-GB"/>
        </w:rPr>
      </w:pPr>
      <w:r w:rsidRPr="00FA5AE3">
        <w:rPr>
          <w:rFonts w:ascii="Verdana" w:hAnsi="Verdana"/>
          <w:color w:val="auto"/>
          <w:lang w:val="en-GB"/>
        </w:rPr>
        <w:t>Either Party may terminate the licence in writing, effective at the end of a given calendar year, upon ninety (90) days’ notice.</w:t>
      </w:r>
    </w:p>
    <w:p w14:paraId="1C38EDF0" w14:textId="20574256" w:rsidR="0092452F" w:rsidRPr="00FA5AE3" w:rsidRDefault="0092452F" w:rsidP="00361EDC">
      <w:pPr>
        <w:pStyle w:val="Akapitzlist"/>
        <w:numPr>
          <w:ilvl w:val="3"/>
          <w:numId w:val="11"/>
        </w:numPr>
        <w:spacing w:after="0" w:line="360" w:lineRule="auto"/>
        <w:ind w:left="709" w:hanging="425"/>
        <w:jc w:val="both"/>
        <w:rPr>
          <w:rFonts w:ascii="Verdana" w:hAnsi="Verdana"/>
          <w:color w:val="auto"/>
          <w:szCs w:val="18"/>
          <w:lang w:val="en-GB"/>
        </w:rPr>
      </w:pPr>
      <w:r w:rsidRPr="00FA5AE3">
        <w:rPr>
          <w:rFonts w:ascii="Verdana" w:hAnsi="Verdana"/>
          <w:color w:val="auto"/>
          <w:lang w:val="en-GB"/>
        </w:rPr>
        <w:t xml:space="preserve">Any breach by the </w:t>
      </w:r>
      <w:r w:rsidR="00FA5AE3">
        <w:rPr>
          <w:rFonts w:ascii="Verdana" w:hAnsi="Verdana"/>
          <w:color w:val="auto"/>
          <w:lang w:val="en-GB"/>
        </w:rPr>
        <w:t>Licensee</w:t>
      </w:r>
      <w:r w:rsidRPr="00FA5AE3">
        <w:rPr>
          <w:rFonts w:ascii="Verdana" w:hAnsi="Verdana"/>
          <w:color w:val="auto"/>
          <w:lang w:val="en-GB"/>
        </w:rPr>
        <w:t xml:space="preserve"> of the licencing terms may result in the termination of the licence by the Administrator, with immediate effect.</w:t>
      </w:r>
      <w:r w:rsidR="00E73FFE">
        <w:rPr>
          <w:rFonts w:ascii="Verdana" w:hAnsi="Verdana"/>
          <w:color w:val="auto"/>
          <w:lang w:val="en-GB"/>
        </w:rPr>
        <w:t xml:space="preserve"> </w:t>
      </w:r>
      <w:r w:rsidRPr="00FA5AE3">
        <w:rPr>
          <w:rFonts w:ascii="Verdana" w:hAnsi="Verdana"/>
          <w:color w:val="auto"/>
          <w:lang w:val="en-GB"/>
        </w:rPr>
        <w:t>Termination of licence by the Administrator shall not constitute grounds for refunding correctly charged and collected Fees to</w:t>
      </w:r>
      <w:r w:rsidR="00E3530F">
        <w:rPr>
          <w:rFonts w:ascii="Verdana" w:hAnsi="Verdana"/>
          <w:color w:val="auto"/>
          <w:lang w:val="en-GB"/>
        </w:rPr>
        <w:t xml:space="preserve"> </w:t>
      </w:r>
      <w:r w:rsidRPr="00FA5AE3">
        <w:rPr>
          <w:rFonts w:ascii="Verdana" w:hAnsi="Verdana"/>
          <w:color w:val="auto"/>
          <w:lang w:val="en-GB"/>
        </w:rPr>
        <w:t>the</w:t>
      </w:r>
      <w:r w:rsidR="00E3530F">
        <w:rPr>
          <w:rFonts w:ascii="Verdana" w:hAnsi="Verdana"/>
          <w:color w:val="auto"/>
          <w:lang w:val="en-GB"/>
        </w:rPr>
        <w:t xml:space="preserve"> </w:t>
      </w:r>
      <w:r w:rsidR="00FA5AE3">
        <w:rPr>
          <w:rFonts w:ascii="Verdana" w:hAnsi="Verdana"/>
          <w:color w:val="auto"/>
          <w:lang w:val="en-GB"/>
        </w:rPr>
        <w:t>Licensee</w:t>
      </w:r>
      <w:r w:rsidRPr="00FA5AE3">
        <w:rPr>
          <w:rFonts w:ascii="Verdana" w:hAnsi="Verdana"/>
          <w:color w:val="auto"/>
          <w:lang w:val="en-GB"/>
        </w:rPr>
        <w:t>.</w:t>
      </w:r>
    </w:p>
    <w:p w14:paraId="4F0CC10A" w14:textId="211A00E4" w:rsidR="0092452F" w:rsidRPr="00FA5AE3" w:rsidRDefault="0092452F" w:rsidP="00361EDC">
      <w:pPr>
        <w:pStyle w:val="Akapitzlist"/>
        <w:numPr>
          <w:ilvl w:val="3"/>
          <w:numId w:val="11"/>
        </w:numPr>
        <w:spacing w:after="0" w:line="360" w:lineRule="auto"/>
        <w:ind w:left="709" w:hanging="425"/>
        <w:jc w:val="both"/>
        <w:rPr>
          <w:rFonts w:ascii="Verdana" w:hAnsi="Verdana"/>
          <w:color w:val="auto"/>
          <w:szCs w:val="18"/>
          <w:lang w:val="en-GB"/>
        </w:rPr>
      </w:pPr>
      <w:r w:rsidRPr="00FA5AE3">
        <w:rPr>
          <w:rFonts w:ascii="Verdana" w:hAnsi="Verdana"/>
          <w:color w:val="auto"/>
          <w:lang w:val="en-GB"/>
        </w:rPr>
        <w:t xml:space="preserve">If the Administrator amends the Fee amounts, the </w:t>
      </w:r>
      <w:r w:rsidR="00FA5AE3">
        <w:rPr>
          <w:rFonts w:ascii="Verdana" w:hAnsi="Verdana"/>
          <w:color w:val="auto"/>
          <w:lang w:val="en-GB"/>
        </w:rPr>
        <w:t>Licensee</w:t>
      </w:r>
      <w:r w:rsidRPr="00FA5AE3">
        <w:rPr>
          <w:rFonts w:ascii="Verdana" w:hAnsi="Verdana"/>
          <w:color w:val="auto"/>
          <w:lang w:val="en-GB"/>
        </w:rPr>
        <w:t xml:space="preserve"> may terminate the licence, effective as at the day preceding the effective date of such amendment. This right shall not apply, however, if such amendments to the Fee Schedule:</w:t>
      </w:r>
    </w:p>
    <w:p w14:paraId="375686F5" w14:textId="77777777" w:rsidR="0092452F" w:rsidRPr="00FA5AE3" w:rsidRDefault="0092452F" w:rsidP="0092452F">
      <w:pPr>
        <w:pStyle w:val="Akapitzlist"/>
        <w:numPr>
          <w:ilvl w:val="0"/>
          <w:numId w:val="10"/>
        </w:numPr>
        <w:spacing w:after="0" w:line="360" w:lineRule="auto"/>
        <w:jc w:val="both"/>
        <w:rPr>
          <w:rFonts w:ascii="Verdana" w:hAnsi="Verdana"/>
          <w:color w:val="auto"/>
          <w:szCs w:val="18"/>
          <w:lang w:val="en-GB"/>
        </w:rPr>
      </w:pPr>
      <w:r w:rsidRPr="00FA5AE3">
        <w:rPr>
          <w:rFonts w:ascii="Verdana" w:hAnsi="Verdana"/>
          <w:color w:val="auto"/>
          <w:lang w:val="en-GB"/>
        </w:rPr>
        <w:t>reduce the Fee amounts or modify the Fee structure without affecting the Fee amounts;</w:t>
      </w:r>
    </w:p>
    <w:p w14:paraId="0D84352E" w14:textId="77777777" w:rsidR="0092452F" w:rsidRPr="00FA5AE3" w:rsidRDefault="0092452F" w:rsidP="0092452F">
      <w:pPr>
        <w:pStyle w:val="Akapitzlist"/>
        <w:numPr>
          <w:ilvl w:val="0"/>
          <w:numId w:val="10"/>
        </w:numPr>
        <w:spacing w:after="0" w:line="360" w:lineRule="auto"/>
        <w:jc w:val="both"/>
        <w:rPr>
          <w:rFonts w:ascii="Verdana" w:hAnsi="Verdana"/>
          <w:color w:val="auto"/>
          <w:szCs w:val="18"/>
          <w:lang w:val="en-GB"/>
        </w:rPr>
      </w:pPr>
      <w:r w:rsidRPr="00FA5AE3">
        <w:rPr>
          <w:rFonts w:ascii="Verdana" w:hAnsi="Verdana"/>
          <w:color w:val="auto"/>
          <w:lang w:val="en-GB"/>
        </w:rPr>
        <w:t>introduce Fees for new licences.</w:t>
      </w:r>
    </w:p>
    <w:p w14:paraId="23F8E6D3" w14:textId="242EB1F4" w:rsidR="0092452F" w:rsidRPr="00FA5AE3" w:rsidRDefault="0092452F" w:rsidP="00361EDC">
      <w:pPr>
        <w:pStyle w:val="Akapitzlist"/>
        <w:numPr>
          <w:ilvl w:val="3"/>
          <w:numId w:val="11"/>
        </w:numPr>
        <w:spacing w:after="0" w:line="360" w:lineRule="auto"/>
        <w:ind w:left="709" w:hanging="425"/>
        <w:jc w:val="both"/>
        <w:rPr>
          <w:rFonts w:ascii="Verdana" w:hAnsi="Verdana"/>
          <w:color w:val="auto"/>
          <w:szCs w:val="18"/>
          <w:lang w:val="en-GB"/>
        </w:rPr>
      </w:pPr>
      <w:r w:rsidRPr="00FA5AE3">
        <w:rPr>
          <w:rFonts w:ascii="Verdana" w:hAnsi="Verdana"/>
          <w:color w:val="auto"/>
          <w:lang w:val="en-GB"/>
        </w:rPr>
        <w:t xml:space="preserve">A licence shall expire due to removal of the </w:t>
      </w:r>
      <w:r w:rsidR="00FA5AE3">
        <w:rPr>
          <w:rFonts w:ascii="Verdana" w:hAnsi="Verdana"/>
          <w:color w:val="auto"/>
          <w:lang w:val="en-GB"/>
        </w:rPr>
        <w:t>Licensee</w:t>
      </w:r>
      <w:r w:rsidRPr="00FA5AE3">
        <w:rPr>
          <w:rFonts w:ascii="Verdana" w:hAnsi="Verdana"/>
          <w:color w:val="auto"/>
          <w:lang w:val="en-GB"/>
        </w:rPr>
        <w:t xml:space="preserve"> from a relevant register due to liquidation or bankruptcy. </w:t>
      </w:r>
    </w:p>
    <w:p w14:paraId="1EBC0093" w14:textId="7B15A53F" w:rsidR="0092452F" w:rsidRPr="000E1C2D" w:rsidRDefault="0092452F" w:rsidP="00361EDC">
      <w:pPr>
        <w:pStyle w:val="Akapitzlist"/>
        <w:numPr>
          <w:ilvl w:val="3"/>
          <w:numId w:val="11"/>
        </w:numPr>
        <w:spacing w:after="0" w:line="360" w:lineRule="auto"/>
        <w:ind w:left="709" w:hanging="425"/>
        <w:jc w:val="both"/>
        <w:rPr>
          <w:rFonts w:ascii="Verdana" w:hAnsi="Verdana"/>
          <w:color w:val="auto"/>
          <w:szCs w:val="18"/>
          <w:lang w:val="en-GB"/>
        </w:rPr>
      </w:pPr>
      <w:r w:rsidRPr="00FA5AE3">
        <w:rPr>
          <w:rFonts w:ascii="Verdana" w:hAnsi="Verdana"/>
          <w:color w:val="auto"/>
          <w:lang w:val="en-GB"/>
        </w:rPr>
        <w:t xml:space="preserve">Licence termination and licence expiry shall deprive the </w:t>
      </w:r>
      <w:r w:rsidR="00FA5AE3">
        <w:rPr>
          <w:rFonts w:ascii="Verdana" w:hAnsi="Verdana"/>
          <w:color w:val="auto"/>
          <w:lang w:val="en-GB"/>
        </w:rPr>
        <w:t>Licensee</w:t>
      </w:r>
      <w:r w:rsidRPr="00FA5AE3">
        <w:rPr>
          <w:rFonts w:ascii="Verdana" w:hAnsi="Verdana"/>
          <w:color w:val="auto"/>
          <w:lang w:val="en-GB"/>
        </w:rPr>
        <w:t xml:space="preserve"> of the right to us</w:t>
      </w:r>
      <w:r w:rsidR="00361EDC">
        <w:rPr>
          <w:rFonts w:ascii="Verdana" w:hAnsi="Verdana"/>
          <w:color w:val="auto"/>
          <w:lang w:val="en-GB"/>
        </w:rPr>
        <w:t>e</w:t>
      </w:r>
      <w:r w:rsidRPr="00FA5AE3">
        <w:rPr>
          <w:rFonts w:ascii="Verdana" w:hAnsi="Verdana"/>
          <w:color w:val="auto"/>
          <w:lang w:val="en-GB"/>
        </w:rPr>
        <w:t xml:space="preserve"> and apply Benchmarks provided by the Administrator.</w:t>
      </w:r>
    </w:p>
    <w:p w14:paraId="7D221FC6" w14:textId="77777777" w:rsidR="000E1C2D" w:rsidRPr="00FA5AE3" w:rsidRDefault="000E1C2D" w:rsidP="000E1C2D">
      <w:pPr>
        <w:pStyle w:val="Akapitzlist"/>
        <w:spacing w:after="0" w:line="360" w:lineRule="auto"/>
        <w:ind w:left="993"/>
        <w:jc w:val="both"/>
        <w:rPr>
          <w:rFonts w:ascii="Verdana" w:hAnsi="Verdana"/>
          <w:color w:val="auto"/>
          <w:szCs w:val="18"/>
          <w:lang w:val="en-GB"/>
        </w:rPr>
      </w:pPr>
    </w:p>
    <w:p w14:paraId="2D6ECBAA" w14:textId="77777777" w:rsidR="0092452F" w:rsidRPr="00FA5AE3" w:rsidRDefault="0092452F" w:rsidP="0092452F">
      <w:pPr>
        <w:spacing w:after="0" w:line="360" w:lineRule="auto"/>
        <w:jc w:val="center"/>
        <w:rPr>
          <w:rFonts w:ascii="Verdana" w:hAnsi="Verdana"/>
          <w:b/>
          <w:bCs/>
          <w:color w:val="auto"/>
          <w:szCs w:val="18"/>
          <w:lang w:val="en-GB"/>
        </w:rPr>
      </w:pPr>
      <w:r w:rsidRPr="00FA5AE3">
        <w:rPr>
          <w:rFonts w:ascii="Verdana" w:hAnsi="Verdana"/>
          <w:b/>
          <w:color w:val="auto"/>
          <w:lang w:val="en-GB"/>
        </w:rPr>
        <w:t>§ 8</w:t>
      </w:r>
    </w:p>
    <w:p w14:paraId="0E87FE72" w14:textId="77777777" w:rsidR="0092452F" w:rsidRPr="00FA5AE3" w:rsidRDefault="0092452F" w:rsidP="0092452F">
      <w:pPr>
        <w:spacing w:after="0" w:line="360" w:lineRule="auto"/>
        <w:jc w:val="center"/>
        <w:rPr>
          <w:rFonts w:ascii="Verdana" w:hAnsi="Verdana"/>
          <w:b/>
          <w:bCs/>
          <w:color w:val="auto"/>
          <w:szCs w:val="18"/>
          <w:lang w:val="en-GB"/>
        </w:rPr>
      </w:pPr>
      <w:r w:rsidRPr="00FA5AE3">
        <w:rPr>
          <w:rFonts w:ascii="Verdana" w:hAnsi="Verdana"/>
          <w:b/>
          <w:color w:val="auto"/>
          <w:lang w:val="en-GB"/>
        </w:rPr>
        <w:t>Power of Attorney</w:t>
      </w:r>
    </w:p>
    <w:p w14:paraId="12390C0C" w14:textId="6FE3D17D" w:rsidR="0092452F" w:rsidRPr="00FA5AE3" w:rsidRDefault="0092452F" w:rsidP="0092452F">
      <w:pPr>
        <w:pStyle w:val="Akapitzlist"/>
        <w:numPr>
          <w:ilvl w:val="6"/>
          <w:numId w:val="11"/>
        </w:numPr>
        <w:spacing w:after="0" w:line="360" w:lineRule="auto"/>
        <w:ind w:left="709"/>
        <w:jc w:val="both"/>
        <w:rPr>
          <w:rFonts w:ascii="Verdana" w:hAnsi="Verdana"/>
          <w:color w:val="auto"/>
          <w:szCs w:val="18"/>
          <w:lang w:val="en-GB"/>
        </w:rPr>
      </w:pPr>
      <w:r w:rsidRPr="00FA5AE3">
        <w:rPr>
          <w:rFonts w:ascii="Verdana" w:hAnsi="Verdana"/>
          <w:color w:val="auto"/>
          <w:lang w:val="en-GB"/>
        </w:rPr>
        <w:t>The Issuer may grant to an issuing agent and/or a third party a power of attorney for</w:t>
      </w:r>
      <w:r w:rsidR="00361EDC">
        <w:rPr>
          <w:rFonts w:ascii="Verdana" w:hAnsi="Verdana"/>
          <w:color w:val="auto"/>
          <w:lang w:val="en-GB"/>
        </w:rPr>
        <w:t> </w:t>
      </w:r>
      <w:r w:rsidRPr="00FA5AE3">
        <w:rPr>
          <w:rFonts w:ascii="Verdana" w:hAnsi="Verdana"/>
          <w:color w:val="auto"/>
          <w:lang w:val="en-GB"/>
        </w:rPr>
        <w:t>the</w:t>
      </w:r>
      <w:r w:rsidR="00361EDC">
        <w:rPr>
          <w:rFonts w:ascii="Verdana" w:hAnsi="Verdana"/>
          <w:color w:val="auto"/>
          <w:lang w:val="en-GB"/>
        </w:rPr>
        <w:t> </w:t>
      </w:r>
      <w:r w:rsidRPr="00FA5AE3">
        <w:rPr>
          <w:rFonts w:ascii="Verdana" w:hAnsi="Verdana"/>
          <w:color w:val="auto"/>
          <w:lang w:val="en-GB"/>
        </w:rPr>
        <w:t xml:space="preserve">purpose of performing, on the Issuer’s behalf, any and all actions required to </w:t>
      </w:r>
      <w:r w:rsidR="00361EDC">
        <w:rPr>
          <w:rFonts w:ascii="Verdana" w:hAnsi="Verdana"/>
          <w:color w:val="auto"/>
          <w:lang w:val="en-GB"/>
        </w:rPr>
        <w:t>acquire</w:t>
      </w:r>
      <w:r w:rsidRPr="00FA5AE3">
        <w:rPr>
          <w:rFonts w:ascii="Verdana" w:hAnsi="Verdana"/>
          <w:color w:val="auto"/>
          <w:lang w:val="en-GB"/>
        </w:rPr>
        <w:t xml:space="preserve"> a</w:t>
      </w:r>
      <w:r w:rsidR="00361EDC">
        <w:rPr>
          <w:rFonts w:ascii="Verdana" w:hAnsi="Verdana"/>
          <w:color w:val="auto"/>
          <w:lang w:val="en-GB"/>
        </w:rPr>
        <w:t> </w:t>
      </w:r>
      <w:r w:rsidRPr="00FA5AE3">
        <w:rPr>
          <w:rFonts w:ascii="Verdana" w:hAnsi="Verdana"/>
          <w:color w:val="auto"/>
          <w:lang w:val="en-GB"/>
        </w:rPr>
        <w:t>Benchmark using and applying licence for the Issuer, as well as representing the Issuer before the Administrator. A granted power of attorney shall be presented to the Administrator, together with a completed Statement compliant with the provisions of Appendix 1 to these Rules.</w:t>
      </w:r>
    </w:p>
    <w:p w14:paraId="318FD76A" w14:textId="24600EF5" w:rsidR="0092452F" w:rsidRPr="00FA5AE3" w:rsidRDefault="0092452F" w:rsidP="0092452F">
      <w:pPr>
        <w:pStyle w:val="Akapitzlist"/>
        <w:numPr>
          <w:ilvl w:val="6"/>
          <w:numId w:val="11"/>
        </w:numPr>
        <w:spacing w:after="0" w:line="360" w:lineRule="auto"/>
        <w:ind w:left="709"/>
        <w:jc w:val="both"/>
        <w:rPr>
          <w:rFonts w:ascii="Verdana" w:hAnsi="Verdana"/>
          <w:color w:val="auto"/>
          <w:szCs w:val="18"/>
          <w:lang w:val="en-GB"/>
        </w:rPr>
      </w:pPr>
      <w:r w:rsidRPr="00FA5AE3">
        <w:rPr>
          <w:rFonts w:ascii="Verdana" w:hAnsi="Verdana"/>
          <w:color w:val="auto"/>
          <w:lang w:val="en-GB"/>
        </w:rPr>
        <w:t>In the event of expiry of a power of attorney during the licence period, the issuing agent and/or other entity authorised to represent the Issuer shall present the Administrator with a new power of attorney confirming that entity's authorisation to act for and on behalf of the Issuer. This commitment shall apply to situations where the presentation of a new power of attorney is</w:t>
      </w:r>
      <w:r w:rsidR="00361EDC">
        <w:rPr>
          <w:rFonts w:ascii="Verdana" w:hAnsi="Verdana"/>
          <w:color w:val="auto"/>
          <w:lang w:val="en-GB"/>
        </w:rPr>
        <w:t> </w:t>
      </w:r>
      <w:r w:rsidRPr="00FA5AE3">
        <w:rPr>
          <w:rFonts w:ascii="Verdana" w:hAnsi="Verdana"/>
          <w:color w:val="auto"/>
          <w:lang w:val="en-GB"/>
        </w:rPr>
        <w:t>necessary, such as acquisition of a new licence, modification of an existing licence, or licence termination.</w:t>
      </w:r>
    </w:p>
    <w:p w14:paraId="7647DA0B" w14:textId="77777777" w:rsidR="0092452F" w:rsidRPr="00FA5AE3" w:rsidRDefault="0092452F" w:rsidP="0092452F">
      <w:pPr>
        <w:spacing w:after="0" w:line="360" w:lineRule="auto"/>
        <w:jc w:val="center"/>
        <w:rPr>
          <w:rFonts w:ascii="Verdana" w:hAnsi="Verdana"/>
          <w:b/>
          <w:bCs/>
          <w:color w:val="auto"/>
          <w:szCs w:val="18"/>
          <w:lang w:val="en-GB"/>
        </w:rPr>
      </w:pPr>
      <w:r w:rsidRPr="00FA5AE3">
        <w:rPr>
          <w:rFonts w:ascii="Verdana" w:hAnsi="Verdana"/>
          <w:b/>
          <w:color w:val="auto"/>
          <w:lang w:val="en-GB"/>
        </w:rPr>
        <w:t>§ 9</w:t>
      </w:r>
    </w:p>
    <w:p w14:paraId="3D84BE59" w14:textId="77777777" w:rsidR="0092452F" w:rsidRPr="00FA5AE3" w:rsidRDefault="0092452F" w:rsidP="0092452F">
      <w:pPr>
        <w:spacing w:after="0" w:line="360" w:lineRule="auto"/>
        <w:jc w:val="center"/>
        <w:rPr>
          <w:rFonts w:ascii="Verdana" w:hAnsi="Verdana"/>
          <w:b/>
          <w:bCs/>
          <w:color w:val="auto"/>
          <w:szCs w:val="18"/>
          <w:lang w:val="en-GB"/>
        </w:rPr>
      </w:pPr>
      <w:r w:rsidRPr="00FA5AE3">
        <w:rPr>
          <w:rFonts w:ascii="Verdana" w:hAnsi="Verdana"/>
          <w:b/>
          <w:color w:val="auto"/>
          <w:lang w:val="en-GB"/>
        </w:rPr>
        <w:t>Appeal Procedure</w:t>
      </w:r>
    </w:p>
    <w:p w14:paraId="28873AF8" w14:textId="6C884A1B" w:rsidR="0092452F" w:rsidRPr="00FA5AE3" w:rsidRDefault="0092452F" w:rsidP="0092452F">
      <w:pPr>
        <w:pStyle w:val="Akapitzlist"/>
        <w:numPr>
          <w:ilvl w:val="3"/>
          <w:numId w:val="10"/>
        </w:numPr>
        <w:spacing w:after="0" w:line="360" w:lineRule="auto"/>
        <w:ind w:left="709" w:hanging="284"/>
        <w:jc w:val="both"/>
        <w:rPr>
          <w:rFonts w:ascii="Verdana" w:hAnsi="Verdana"/>
          <w:color w:val="auto"/>
          <w:szCs w:val="18"/>
          <w:lang w:val="en-GB"/>
        </w:rPr>
      </w:pPr>
      <w:r w:rsidRPr="00FA5AE3">
        <w:rPr>
          <w:rFonts w:ascii="Verdana" w:hAnsi="Verdana"/>
          <w:color w:val="auto"/>
          <w:lang w:val="en-GB"/>
        </w:rPr>
        <w:t xml:space="preserve">The </w:t>
      </w:r>
      <w:r w:rsidR="00FA5AE3">
        <w:rPr>
          <w:rFonts w:ascii="Verdana" w:hAnsi="Verdana"/>
          <w:color w:val="auto"/>
          <w:lang w:val="en-GB"/>
        </w:rPr>
        <w:t>Licensee</w:t>
      </w:r>
      <w:r w:rsidRPr="00FA5AE3">
        <w:rPr>
          <w:rFonts w:ascii="Verdana" w:hAnsi="Verdana"/>
          <w:color w:val="auto"/>
          <w:lang w:val="en-GB"/>
        </w:rPr>
        <w:t xml:space="preserve"> may appeal the Fee amount charged by the Administrator for the Benchmark using and applying licence within 14 days from VAT invoice receipt.</w:t>
      </w:r>
    </w:p>
    <w:p w14:paraId="66EDFF61" w14:textId="7F008C49" w:rsidR="0092452F" w:rsidRPr="00FA5AE3" w:rsidRDefault="0092452F" w:rsidP="0092452F">
      <w:pPr>
        <w:pStyle w:val="Akapitzlist"/>
        <w:numPr>
          <w:ilvl w:val="3"/>
          <w:numId w:val="10"/>
        </w:numPr>
        <w:spacing w:after="0" w:line="360" w:lineRule="auto"/>
        <w:ind w:left="709" w:hanging="284"/>
        <w:jc w:val="both"/>
        <w:rPr>
          <w:rFonts w:ascii="Verdana" w:hAnsi="Verdana"/>
          <w:color w:val="auto"/>
          <w:szCs w:val="18"/>
          <w:lang w:val="en-GB"/>
        </w:rPr>
      </w:pPr>
      <w:r w:rsidRPr="00FA5AE3">
        <w:rPr>
          <w:rFonts w:ascii="Verdana" w:hAnsi="Verdana"/>
          <w:color w:val="auto"/>
          <w:lang w:val="en-GB"/>
        </w:rPr>
        <w:t>The appeal must be made in writing and contain the grounds on which the appeal is made, as</w:t>
      </w:r>
      <w:r w:rsidR="00361EDC">
        <w:rPr>
          <w:rFonts w:ascii="Verdana" w:hAnsi="Verdana"/>
          <w:color w:val="auto"/>
          <w:lang w:val="en-GB"/>
        </w:rPr>
        <w:t> </w:t>
      </w:r>
      <w:r w:rsidRPr="00FA5AE3">
        <w:rPr>
          <w:rFonts w:ascii="Verdana" w:hAnsi="Verdana"/>
          <w:color w:val="auto"/>
          <w:lang w:val="en-GB"/>
        </w:rPr>
        <w:t xml:space="preserve">well as documents justifying a change of the Fee amount charged by the Administrator </w:t>
      </w:r>
      <w:r w:rsidRPr="00FA5AE3">
        <w:rPr>
          <w:rFonts w:ascii="Verdana" w:hAnsi="Verdana"/>
          <w:color w:val="auto"/>
          <w:lang w:val="en-GB"/>
        </w:rPr>
        <w:lastRenderedPageBreak/>
        <w:t>for</w:t>
      </w:r>
      <w:r w:rsidR="00361EDC">
        <w:rPr>
          <w:rFonts w:ascii="Verdana" w:hAnsi="Verdana"/>
          <w:color w:val="auto"/>
          <w:lang w:val="en-GB"/>
        </w:rPr>
        <w:t> </w:t>
      </w:r>
      <w:r w:rsidRPr="00FA5AE3">
        <w:rPr>
          <w:rFonts w:ascii="Verdana" w:hAnsi="Verdana"/>
          <w:color w:val="auto"/>
          <w:lang w:val="en-GB"/>
        </w:rPr>
        <w:t>the Benchmark using and applying licence.</w:t>
      </w:r>
      <w:r w:rsidR="00E73FFE">
        <w:rPr>
          <w:rFonts w:ascii="Verdana" w:hAnsi="Verdana"/>
          <w:color w:val="auto"/>
          <w:lang w:val="en-GB"/>
        </w:rPr>
        <w:t xml:space="preserve"> </w:t>
      </w:r>
      <w:r w:rsidRPr="00FA5AE3">
        <w:rPr>
          <w:rFonts w:ascii="Verdana" w:hAnsi="Verdana"/>
          <w:color w:val="auto"/>
          <w:lang w:val="en-GB"/>
        </w:rPr>
        <w:t>The appeal must be sent to the address set forth in Section 3.1.</w:t>
      </w:r>
    </w:p>
    <w:p w14:paraId="536B0A6C" w14:textId="77777777" w:rsidR="0092452F" w:rsidRPr="00FA5AE3" w:rsidRDefault="0092452F" w:rsidP="0092452F">
      <w:pPr>
        <w:pStyle w:val="Akapitzlist"/>
        <w:numPr>
          <w:ilvl w:val="3"/>
          <w:numId w:val="10"/>
        </w:numPr>
        <w:spacing w:after="0" w:line="360" w:lineRule="auto"/>
        <w:ind w:left="709" w:hanging="284"/>
        <w:jc w:val="both"/>
        <w:rPr>
          <w:rFonts w:ascii="Verdana" w:hAnsi="Verdana"/>
          <w:color w:val="auto"/>
          <w:szCs w:val="18"/>
          <w:lang w:val="en-GB"/>
        </w:rPr>
      </w:pPr>
      <w:r w:rsidRPr="00FA5AE3">
        <w:rPr>
          <w:rFonts w:ascii="Verdana" w:hAnsi="Verdana"/>
          <w:color w:val="auto"/>
          <w:lang w:val="en-GB"/>
        </w:rPr>
        <w:t>The Administrator shall examine the appeal within 16 days from its receipt, upon presentation of the documents referred to in par. 2.</w:t>
      </w:r>
    </w:p>
    <w:p w14:paraId="4C7BB770" w14:textId="77777777" w:rsidR="0092452F" w:rsidRPr="00FA5AE3" w:rsidRDefault="0092452F" w:rsidP="0092452F">
      <w:pPr>
        <w:pStyle w:val="Akapitzlist"/>
        <w:numPr>
          <w:ilvl w:val="3"/>
          <w:numId w:val="10"/>
        </w:numPr>
        <w:spacing w:after="0" w:line="360" w:lineRule="auto"/>
        <w:ind w:left="709" w:hanging="284"/>
        <w:jc w:val="both"/>
        <w:rPr>
          <w:rFonts w:ascii="Verdana" w:hAnsi="Verdana"/>
          <w:color w:val="auto"/>
          <w:szCs w:val="18"/>
          <w:lang w:val="en-GB"/>
        </w:rPr>
      </w:pPr>
      <w:r w:rsidRPr="00FA5AE3">
        <w:rPr>
          <w:rFonts w:ascii="Verdana" w:hAnsi="Verdana"/>
          <w:color w:val="auto"/>
          <w:lang w:val="en-GB"/>
        </w:rPr>
        <w:t xml:space="preserve">Upon appeal approval, the Administrator shall adjust the relevant VAT invoice. </w:t>
      </w:r>
    </w:p>
    <w:p w14:paraId="4139143C" w14:textId="77777777" w:rsidR="0092452F" w:rsidRPr="00FA5AE3" w:rsidRDefault="0092452F" w:rsidP="0092452F">
      <w:pPr>
        <w:spacing w:after="0" w:line="360" w:lineRule="auto"/>
        <w:rPr>
          <w:rFonts w:ascii="Verdana" w:hAnsi="Verdana"/>
          <w:b/>
          <w:bCs/>
          <w:color w:val="auto"/>
          <w:szCs w:val="18"/>
          <w:lang w:val="en-GB"/>
        </w:rPr>
      </w:pPr>
    </w:p>
    <w:p w14:paraId="45CA25C0" w14:textId="77777777" w:rsidR="0092452F" w:rsidRPr="00FA5AE3" w:rsidRDefault="0092452F" w:rsidP="0092452F">
      <w:pPr>
        <w:spacing w:after="0" w:line="360" w:lineRule="auto"/>
        <w:jc w:val="center"/>
        <w:rPr>
          <w:rFonts w:ascii="Verdana" w:hAnsi="Verdana"/>
          <w:b/>
          <w:bCs/>
          <w:color w:val="auto"/>
          <w:szCs w:val="18"/>
          <w:lang w:val="en-GB"/>
        </w:rPr>
      </w:pPr>
      <w:r w:rsidRPr="00FA5AE3">
        <w:rPr>
          <w:rFonts w:ascii="Verdana" w:hAnsi="Verdana"/>
          <w:b/>
          <w:color w:val="auto"/>
          <w:lang w:val="en-GB"/>
        </w:rPr>
        <w:t>§ 10</w:t>
      </w:r>
    </w:p>
    <w:p w14:paraId="77171C6D" w14:textId="77777777" w:rsidR="0092452F" w:rsidRPr="00FA5AE3" w:rsidRDefault="0092452F" w:rsidP="0092452F">
      <w:pPr>
        <w:spacing w:after="0" w:line="360" w:lineRule="auto"/>
        <w:jc w:val="center"/>
        <w:rPr>
          <w:rFonts w:ascii="Verdana" w:hAnsi="Verdana"/>
          <w:b/>
          <w:bCs/>
          <w:color w:val="auto"/>
          <w:szCs w:val="18"/>
          <w:lang w:val="en-GB"/>
        </w:rPr>
      </w:pPr>
      <w:r w:rsidRPr="00FA5AE3">
        <w:rPr>
          <w:rFonts w:ascii="Verdana" w:hAnsi="Verdana"/>
          <w:b/>
          <w:color w:val="auto"/>
          <w:lang w:val="en-GB"/>
        </w:rPr>
        <w:t>Amendment of the Rules</w:t>
      </w:r>
    </w:p>
    <w:p w14:paraId="4CAA6E18" w14:textId="77777777" w:rsidR="0092452F" w:rsidRPr="00FA5AE3" w:rsidRDefault="0092452F" w:rsidP="00361EDC">
      <w:pPr>
        <w:pStyle w:val="Akapitzlist"/>
        <w:numPr>
          <w:ilvl w:val="0"/>
          <w:numId w:val="14"/>
        </w:numPr>
        <w:spacing w:after="0" w:line="360" w:lineRule="auto"/>
        <w:ind w:left="709" w:hanging="349"/>
        <w:jc w:val="both"/>
        <w:rPr>
          <w:rFonts w:ascii="Verdana" w:hAnsi="Verdana"/>
          <w:color w:val="auto"/>
          <w:szCs w:val="18"/>
          <w:lang w:val="en-GB"/>
        </w:rPr>
      </w:pPr>
      <w:r w:rsidRPr="00FA5AE3">
        <w:rPr>
          <w:rFonts w:ascii="Verdana" w:hAnsi="Verdana"/>
          <w:color w:val="auto"/>
          <w:lang w:val="en-GB"/>
        </w:rPr>
        <w:t xml:space="preserve">The Rules may be amended when: </w:t>
      </w:r>
    </w:p>
    <w:p w14:paraId="414E6928" w14:textId="77777777" w:rsidR="0092452F" w:rsidRPr="00FA5AE3" w:rsidRDefault="0092452F" w:rsidP="0092452F">
      <w:pPr>
        <w:pStyle w:val="Akapitzlist"/>
        <w:numPr>
          <w:ilvl w:val="1"/>
          <w:numId w:val="14"/>
        </w:numPr>
        <w:spacing w:after="0" w:line="360" w:lineRule="auto"/>
        <w:jc w:val="both"/>
        <w:rPr>
          <w:rFonts w:ascii="Verdana" w:hAnsi="Verdana"/>
          <w:color w:val="auto"/>
          <w:szCs w:val="18"/>
          <w:lang w:val="en-GB"/>
        </w:rPr>
      </w:pPr>
      <w:r w:rsidRPr="00FA5AE3">
        <w:rPr>
          <w:rFonts w:ascii="Verdana" w:hAnsi="Verdana"/>
          <w:color w:val="auto"/>
          <w:lang w:val="en-GB"/>
        </w:rPr>
        <w:t xml:space="preserve">new or amended legal regulations are introduced, the interpretation of legal provisions is altered as a result of court judgments, as well as resolutions, decisions, recommendations and/or other acts issued by supervisory bodies or other competent public offices or bodies, and/or when the Administrator takes such a decision; </w:t>
      </w:r>
    </w:p>
    <w:p w14:paraId="78250695" w14:textId="74D4D671" w:rsidR="0092452F" w:rsidRPr="00FA5AE3" w:rsidRDefault="0092452F" w:rsidP="0092452F">
      <w:pPr>
        <w:pStyle w:val="Akapitzlist"/>
        <w:numPr>
          <w:ilvl w:val="1"/>
          <w:numId w:val="14"/>
        </w:numPr>
        <w:spacing w:after="0" w:line="360" w:lineRule="auto"/>
        <w:jc w:val="both"/>
        <w:rPr>
          <w:rFonts w:ascii="Verdana" w:hAnsi="Verdana"/>
          <w:color w:val="auto"/>
          <w:szCs w:val="18"/>
          <w:lang w:val="en-GB"/>
        </w:rPr>
      </w:pPr>
      <w:r w:rsidRPr="00FA5AE3">
        <w:rPr>
          <w:rFonts w:ascii="Verdana" w:hAnsi="Verdana"/>
          <w:color w:val="auto"/>
          <w:lang w:val="en-GB"/>
        </w:rPr>
        <w:t>new licences and services are introduced to the offer, and/or when the offering is</w:t>
      </w:r>
      <w:r w:rsidR="00361EDC">
        <w:rPr>
          <w:rFonts w:ascii="Verdana" w:hAnsi="Verdana"/>
          <w:color w:val="auto"/>
          <w:lang w:val="en-GB"/>
        </w:rPr>
        <w:t> </w:t>
      </w:r>
      <w:r w:rsidRPr="00FA5AE3">
        <w:rPr>
          <w:rFonts w:ascii="Verdana" w:hAnsi="Verdana"/>
          <w:color w:val="auto"/>
          <w:lang w:val="en-GB"/>
        </w:rPr>
        <w:t>amended by modifying the scope of licences and services, provided that such an</w:t>
      </w:r>
      <w:r w:rsidR="00361EDC">
        <w:rPr>
          <w:rFonts w:ascii="Verdana" w:hAnsi="Verdana"/>
          <w:color w:val="auto"/>
          <w:lang w:val="en-GB"/>
        </w:rPr>
        <w:t> </w:t>
      </w:r>
      <w:r w:rsidRPr="00FA5AE3">
        <w:rPr>
          <w:rFonts w:ascii="Verdana" w:hAnsi="Verdana"/>
          <w:color w:val="auto"/>
          <w:lang w:val="en-GB"/>
        </w:rPr>
        <w:t>amendment will ensure due licence performance.</w:t>
      </w:r>
    </w:p>
    <w:p w14:paraId="3F7A8747" w14:textId="2825F030" w:rsidR="0092452F" w:rsidRPr="00FA5AE3" w:rsidRDefault="0092452F" w:rsidP="0092452F">
      <w:pPr>
        <w:pStyle w:val="Akapitzlist"/>
        <w:numPr>
          <w:ilvl w:val="0"/>
          <w:numId w:val="14"/>
        </w:numPr>
        <w:spacing w:after="0" w:line="360" w:lineRule="auto"/>
        <w:jc w:val="both"/>
        <w:rPr>
          <w:rFonts w:ascii="Verdana" w:hAnsi="Verdana"/>
          <w:color w:val="auto"/>
          <w:szCs w:val="18"/>
          <w:lang w:val="en-GB"/>
        </w:rPr>
      </w:pPr>
      <w:r w:rsidRPr="00FA5AE3">
        <w:rPr>
          <w:rFonts w:ascii="Verdana" w:hAnsi="Verdana"/>
          <w:color w:val="auto"/>
          <w:lang w:val="en-GB"/>
        </w:rPr>
        <w:t>Amendments of the Rules and Appendices to the Rules shall be made publicly available by</w:t>
      </w:r>
      <w:r w:rsidR="00636616">
        <w:rPr>
          <w:rFonts w:ascii="Verdana" w:hAnsi="Verdana"/>
          <w:color w:val="auto"/>
          <w:lang w:val="en-GB"/>
        </w:rPr>
        <w:t> </w:t>
      </w:r>
      <w:r w:rsidRPr="00FA5AE3">
        <w:rPr>
          <w:rFonts w:ascii="Verdana" w:hAnsi="Verdana"/>
          <w:color w:val="auto"/>
          <w:lang w:val="en-GB"/>
        </w:rPr>
        <w:t>publishing on the website of the Administrator.</w:t>
      </w:r>
    </w:p>
    <w:p w14:paraId="5AA48017" w14:textId="226AF1C1" w:rsidR="0092452F" w:rsidRPr="00FA5AE3" w:rsidRDefault="0092452F" w:rsidP="0092452F">
      <w:pPr>
        <w:pStyle w:val="Akapitzlist"/>
        <w:numPr>
          <w:ilvl w:val="0"/>
          <w:numId w:val="14"/>
        </w:numPr>
        <w:spacing w:after="0" w:line="360" w:lineRule="auto"/>
        <w:jc w:val="both"/>
        <w:rPr>
          <w:rFonts w:ascii="Verdana" w:hAnsi="Verdana"/>
          <w:color w:val="auto"/>
          <w:szCs w:val="18"/>
          <w:lang w:val="en-GB"/>
        </w:rPr>
      </w:pPr>
      <w:r w:rsidRPr="00FA5AE3">
        <w:rPr>
          <w:rFonts w:ascii="Verdana" w:hAnsi="Verdana"/>
          <w:color w:val="auto"/>
          <w:lang w:val="en-GB"/>
        </w:rPr>
        <w:t>The Administrator shall have the right to amend the Fee Schedule, however, with the reservation that any amendment resulting in an increase in existing Fees shall become effective on the first day of the month following the lapse of three months from the date of that amendment and shall be notified by publishing the amended Fee Schedule on the website of</w:t>
      </w:r>
      <w:r w:rsidR="00817A58">
        <w:rPr>
          <w:rFonts w:ascii="Verdana" w:hAnsi="Verdana"/>
          <w:color w:val="auto"/>
          <w:lang w:val="en-GB"/>
        </w:rPr>
        <w:t> </w:t>
      </w:r>
      <w:r w:rsidRPr="00FA5AE3">
        <w:rPr>
          <w:rFonts w:ascii="Verdana" w:hAnsi="Verdana"/>
          <w:color w:val="auto"/>
          <w:lang w:val="en-GB"/>
        </w:rPr>
        <w:t>the</w:t>
      </w:r>
      <w:r w:rsidR="00817A58">
        <w:rPr>
          <w:rFonts w:ascii="Verdana" w:hAnsi="Verdana"/>
          <w:color w:val="auto"/>
          <w:lang w:val="en-GB"/>
        </w:rPr>
        <w:t> </w:t>
      </w:r>
      <w:r w:rsidRPr="00FA5AE3">
        <w:rPr>
          <w:rFonts w:ascii="Verdana" w:hAnsi="Verdana"/>
          <w:color w:val="auto"/>
          <w:lang w:val="en-GB"/>
        </w:rPr>
        <w:t>Administrator.</w:t>
      </w:r>
    </w:p>
    <w:p w14:paraId="73D2CF44" w14:textId="77777777" w:rsidR="0092452F" w:rsidRPr="00FA5AE3" w:rsidRDefault="0092452F" w:rsidP="0092452F">
      <w:pPr>
        <w:pStyle w:val="Akapitzlist"/>
        <w:numPr>
          <w:ilvl w:val="0"/>
          <w:numId w:val="14"/>
        </w:numPr>
        <w:spacing w:after="0" w:line="360" w:lineRule="auto"/>
        <w:jc w:val="both"/>
        <w:rPr>
          <w:rFonts w:ascii="Verdana" w:hAnsi="Verdana"/>
          <w:color w:val="auto"/>
          <w:szCs w:val="18"/>
          <w:lang w:val="en-GB"/>
        </w:rPr>
      </w:pPr>
      <w:r w:rsidRPr="00FA5AE3">
        <w:rPr>
          <w:rFonts w:ascii="Verdana" w:hAnsi="Verdana"/>
          <w:color w:val="auto"/>
          <w:lang w:val="en-GB"/>
        </w:rPr>
        <w:t xml:space="preserve">Amendments consisting in introducing new licences and services to the Fee Schedule and/or amendments other than those listed in the paragraphs above shall become effective on the first day of the month following the month during which an amendment was made. </w:t>
      </w:r>
    </w:p>
    <w:p w14:paraId="79664688" w14:textId="202CB3C4" w:rsidR="0092452F" w:rsidRPr="00FA5AE3" w:rsidRDefault="0092452F" w:rsidP="0092452F">
      <w:pPr>
        <w:pStyle w:val="Akapitzlist"/>
        <w:numPr>
          <w:ilvl w:val="0"/>
          <w:numId w:val="14"/>
        </w:numPr>
        <w:spacing w:after="0" w:line="360" w:lineRule="auto"/>
        <w:jc w:val="both"/>
        <w:rPr>
          <w:rFonts w:ascii="Verdana" w:hAnsi="Verdana"/>
          <w:color w:val="auto"/>
          <w:szCs w:val="18"/>
          <w:lang w:val="en-GB"/>
        </w:rPr>
      </w:pPr>
      <w:r w:rsidRPr="00FA5AE3">
        <w:rPr>
          <w:rFonts w:ascii="Verdana" w:hAnsi="Verdana"/>
          <w:color w:val="auto"/>
          <w:lang w:val="en-GB"/>
        </w:rPr>
        <w:t xml:space="preserve">Amended provisions of the Rules shall become effective, unless the </w:t>
      </w:r>
      <w:r w:rsidR="00FA5AE3">
        <w:rPr>
          <w:rFonts w:ascii="Verdana" w:hAnsi="Verdana"/>
          <w:color w:val="auto"/>
          <w:lang w:val="en-GB"/>
        </w:rPr>
        <w:t>Licensee</w:t>
      </w:r>
      <w:r w:rsidRPr="00FA5AE3">
        <w:rPr>
          <w:rFonts w:ascii="Verdana" w:hAnsi="Verdana"/>
          <w:color w:val="auto"/>
          <w:lang w:val="en-GB"/>
        </w:rPr>
        <w:t xml:space="preserve"> terminates the</w:t>
      </w:r>
      <w:r w:rsidR="00E3530F">
        <w:rPr>
          <w:rFonts w:ascii="Verdana" w:hAnsi="Verdana"/>
          <w:color w:val="auto"/>
          <w:lang w:val="en-GB"/>
        </w:rPr>
        <w:t> </w:t>
      </w:r>
      <w:r w:rsidRPr="00FA5AE3">
        <w:rPr>
          <w:rFonts w:ascii="Verdana" w:hAnsi="Verdana"/>
          <w:color w:val="auto"/>
          <w:lang w:val="en-GB"/>
        </w:rPr>
        <w:t xml:space="preserve">licence within 60 days from the date of publishing information about the amendment. </w:t>
      </w:r>
    </w:p>
    <w:p w14:paraId="63ACBFB9" w14:textId="77777777" w:rsidR="0092452F" w:rsidRPr="00FA5AE3" w:rsidRDefault="0092452F" w:rsidP="0092452F">
      <w:pPr>
        <w:spacing w:after="0" w:line="360" w:lineRule="auto"/>
        <w:jc w:val="both"/>
        <w:rPr>
          <w:rFonts w:ascii="Verdana" w:hAnsi="Verdana"/>
          <w:color w:val="auto"/>
          <w:szCs w:val="18"/>
          <w:lang w:val="en-GB"/>
        </w:rPr>
      </w:pPr>
    </w:p>
    <w:p w14:paraId="754400D5" w14:textId="77777777" w:rsidR="0092452F" w:rsidRPr="00FA5AE3" w:rsidRDefault="0092452F" w:rsidP="0092452F">
      <w:pPr>
        <w:spacing w:after="0" w:line="360" w:lineRule="auto"/>
        <w:jc w:val="center"/>
        <w:rPr>
          <w:rFonts w:ascii="Verdana" w:hAnsi="Verdana"/>
          <w:b/>
          <w:bCs/>
          <w:color w:val="auto"/>
          <w:szCs w:val="18"/>
          <w:lang w:val="en-GB"/>
        </w:rPr>
      </w:pPr>
      <w:r w:rsidRPr="00FA5AE3">
        <w:rPr>
          <w:rFonts w:ascii="Verdana" w:hAnsi="Verdana"/>
          <w:b/>
          <w:color w:val="auto"/>
          <w:lang w:val="en-GB"/>
        </w:rPr>
        <w:t>§ 11</w:t>
      </w:r>
    </w:p>
    <w:p w14:paraId="4CE0E968" w14:textId="6933EDC1" w:rsidR="0092452F" w:rsidRPr="00FA5AE3" w:rsidRDefault="0092452F" w:rsidP="0092452F">
      <w:pPr>
        <w:spacing w:after="0" w:line="360" w:lineRule="auto"/>
        <w:jc w:val="center"/>
        <w:rPr>
          <w:rFonts w:ascii="Verdana" w:hAnsi="Verdana"/>
          <w:b/>
          <w:bCs/>
          <w:color w:val="auto"/>
          <w:szCs w:val="18"/>
          <w:lang w:val="en-GB"/>
        </w:rPr>
      </w:pPr>
      <w:r w:rsidRPr="00FA5AE3">
        <w:rPr>
          <w:rFonts w:ascii="Verdana" w:hAnsi="Verdana"/>
          <w:b/>
          <w:color w:val="auto"/>
          <w:lang w:val="en-GB"/>
        </w:rPr>
        <w:t>Governing Law and Dispute Resolution</w:t>
      </w:r>
    </w:p>
    <w:p w14:paraId="6B6728B3" w14:textId="77777777" w:rsidR="0092452F" w:rsidRPr="00FA5AE3" w:rsidRDefault="0092452F" w:rsidP="0092452F">
      <w:pPr>
        <w:pStyle w:val="Akapitzlist"/>
        <w:numPr>
          <w:ilvl w:val="0"/>
          <w:numId w:val="13"/>
        </w:numPr>
        <w:spacing w:after="0" w:line="360" w:lineRule="auto"/>
        <w:jc w:val="both"/>
        <w:rPr>
          <w:rFonts w:ascii="Verdana" w:hAnsi="Verdana"/>
          <w:color w:val="auto"/>
          <w:szCs w:val="18"/>
          <w:lang w:val="en-GB"/>
        </w:rPr>
      </w:pPr>
      <w:r w:rsidRPr="00FA5AE3">
        <w:rPr>
          <w:rFonts w:ascii="Verdana" w:hAnsi="Verdana"/>
          <w:color w:val="auto"/>
          <w:lang w:val="en-GB"/>
        </w:rPr>
        <w:t xml:space="preserve">These Rules shall be governed by the laws of Poland. </w:t>
      </w:r>
    </w:p>
    <w:p w14:paraId="6F9146C6" w14:textId="4CD4DF92" w:rsidR="0092452F" w:rsidRPr="00FA5AE3" w:rsidRDefault="0092452F" w:rsidP="0092452F">
      <w:pPr>
        <w:pStyle w:val="Akapitzlist"/>
        <w:numPr>
          <w:ilvl w:val="0"/>
          <w:numId w:val="13"/>
        </w:numPr>
        <w:spacing w:after="0" w:line="360" w:lineRule="auto"/>
        <w:jc w:val="both"/>
        <w:rPr>
          <w:rFonts w:ascii="Verdana" w:hAnsi="Verdana"/>
          <w:color w:val="auto"/>
          <w:szCs w:val="18"/>
          <w:lang w:val="en-GB"/>
        </w:rPr>
      </w:pPr>
      <w:r w:rsidRPr="00FA5AE3">
        <w:rPr>
          <w:rFonts w:ascii="Verdana" w:hAnsi="Verdana"/>
          <w:color w:val="auto"/>
          <w:lang w:val="en-GB"/>
        </w:rPr>
        <w:t>Any disputes arising in connection with these Rules which are not firstly resolved by</w:t>
      </w:r>
      <w:r w:rsidR="000E1C2D">
        <w:rPr>
          <w:rFonts w:ascii="Verdana" w:hAnsi="Verdana"/>
          <w:color w:val="auto"/>
          <w:lang w:val="en-GB"/>
        </w:rPr>
        <w:t> </w:t>
      </w:r>
      <w:r w:rsidRPr="00FA5AE3">
        <w:rPr>
          <w:rFonts w:ascii="Verdana" w:hAnsi="Verdana"/>
          <w:color w:val="auto"/>
          <w:lang w:val="en-GB"/>
        </w:rPr>
        <w:t>the</w:t>
      </w:r>
      <w:r w:rsidR="000E1C2D">
        <w:rPr>
          <w:rFonts w:ascii="Verdana" w:hAnsi="Verdana"/>
          <w:color w:val="auto"/>
          <w:lang w:val="en-GB"/>
        </w:rPr>
        <w:t> </w:t>
      </w:r>
      <w:r w:rsidR="00FA5AE3">
        <w:rPr>
          <w:rFonts w:ascii="Verdana" w:hAnsi="Verdana"/>
          <w:color w:val="auto"/>
          <w:lang w:val="en-GB"/>
        </w:rPr>
        <w:t>Licensee</w:t>
      </w:r>
      <w:r w:rsidRPr="00FA5AE3">
        <w:rPr>
          <w:rFonts w:ascii="Verdana" w:hAnsi="Verdana"/>
          <w:color w:val="auto"/>
          <w:lang w:val="en-GB"/>
        </w:rPr>
        <w:t xml:space="preserve"> and the Administrator through amicable negotiations, respecting the interest of the Parties, shall be resolved by the common court with jurisdiction over the registered address of the Administrator.</w:t>
      </w:r>
    </w:p>
    <w:p w14:paraId="3354FB90" w14:textId="77777777" w:rsidR="0092452F" w:rsidRPr="00FA5AE3" w:rsidRDefault="0092452F" w:rsidP="0092452F">
      <w:pPr>
        <w:rPr>
          <w:lang w:val="en-GB"/>
        </w:rPr>
      </w:pPr>
    </w:p>
    <w:p w14:paraId="761FB481" w14:textId="77777777" w:rsidR="0092452F" w:rsidRPr="00FA5AE3" w:rsidRDefault="0092452F" w:rsidP="0092452F">
      <w:pPr>
        <w:rPr>
          <w:lang w:val="en-GB"/>
        </w:rPr>
      </w:pPr>
    </w:p>
    <w:p w14:paraId="395CA942" w14:textId="77777777" w:rsidR="0092452F" w:rsidRPr="00FA5AE3" w:rsidRDefault="0092452F" w:rsidP="0092452F">
      <w:pPr>
        <w:rPr>
          <w:lang w:val="en-GB"/>
        </w:rPr>
      </w:pPr>
    </w:p>
    <w:p w14:paraId="32D60E23" w14:textId="77777777" w:rsidR="0092452F" w:rsidRPr="00FA5AE3" w:rsidRDefault="0092452F" w:rsidP="0092452F">
      <w:pPr>
        <w:rPr>
          <w:lang w:val="en-GB"/>
        </w:rPr>
      </w:pPr>
    </w:p>
    <w:p w14:paraId="58E9214A" w14:textId="77777777" w:rsidR="0092452F" w:rsidRPr="00FA5AE3" w:rsidRDefault="0092452F" w:rsidP="0092452F">
      <w:pPr>
        <w:spacing w:after="0" w:line="360" w:lineRule="auto"/>
        <w:jc w:val="both"/>
        <w:rPr>
          <w:rFonts w:ascii="Verdana" w:hAnsi="Verdana"/>
          <w:color w:val="auto"/>
          <w:sz w:val="12"/>
          <w:szCs w:val="12"/>
          <w:lang w:val="en-GB"/>
        </w:rPr>
      </w:pPr>
      <w:r w:rsidRPr="00FA5AE3">
        <w:rPr>
          <w:rFonts w:ascii="Verdana" w:hAnsi="Verdana"/>
          <w:color w:val="auto"/>
          <w:sz w:val="12"/>
          <w:lang w:val="en-GB"/>
        </w:rPr>
        <w:t>Warsaw, 5 March 2026.</w:t>
      </w:r>
    </w:p>
    <w:p w14:paraId="5A126DB7" w14:textId="77777777" w:rsidR="00731101" w:rsidRPr="00FA5AE3" w:rsidRDefault="00731101">
      <w:pPr>
        <w:rPr>
          <w:lang w:val="en-GB"/>
        </w:rPr>
      </w:pPr>
    </w:p>
    <w:sectPr w:rsidR="00731101" w:rsidRPr="00FA5AE3" w:rsidSect="0092452F">
      <w:headerReference w:type="even" r:id="rId8"/>
      <w:headerReference w:type="default" r:id="rId9"/>
      <w:footerReference w:type="even" r:id="rId10"/>
      <w:footerReference w:type="default" r:id="rId11"/>
      <w:headerReference w:type="first" r:id="rId12"/>
      <w:footerReference w:type="first" r:id="rId13"/>
      <w:pgSz w:w="11900" w:h="16840"/>
      <w:pgMar w:top="1304" w:right="1304" w:bottom="1304" w:left="1304"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2E3D84B" w14:textId="77777777" w:rsidR="00596AA5" w:rsidRDefault="00596AA5">
      <w:pPr>
        <w:spacing w:after="0"/>
      </w:pPr>
      <w:r>
        <w:separator/>
      </w:r>
    </w:p>
  </w:endnote>
  <w:endnote w:type="continuationSeparator" w:id="0">
    <w:p w14:paraId="34FF658F" w14:textId="77777777" w:rsidR="00596AA5" w:rsidRDefault="00596AA5">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rial">
    <w:panose1 w:val="020B0604020202020204"/>
    <w:charset w:val="EE"/>
    <w:family w:val="swiss"/>
    <w:pitch w:val="variable"/>
    <w:sig w:usb0="E0002EFF" w:usb1="C000785B" w:usb2="00000009" w:usb3="00000000" w:csb0="000001FF" w:csb1="00000000"/>
  </w:font>
  <w:font w:name="Aptos Display">
    <w:altName w:val="Aptos Display"/>
    <w:charset w:val="00"/>
    <w:family w:val="swiss"/>
    <w:pitch w:val="variable"/>
    <w:sig w:usb0="20000287" w:usb1="00000003" w:usb2="00000000" w:usb3="00000000" w:csb0="0000019F" w:csb1="00000000"/>
  </w:font>
  <w:font w:name="Verdana">
    <w:panose1 w:val="020B0604030504040204"/>
    <w:charset w:val="EE"/>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712693883"/>
      <w:docPartObj>
        <w:docPartGallery w:val="Page Numbers (Bottom of Page)"/>
        <w:docPartUnique/>
      </w:docPartObj>
    </w:sdtPr>
    <w:sdtEndPr/>
    <w:sdtContent>
      <w:p w14:paraId="22831383" w14:textId="77777777" w:rsidR="00BD3AA7" w:rsidRDefault="004B346D">
        <w:pPr>
          <w:pStyle w:val="Stopka"/>
          <w:jc w:val="center"/>
        </w:pPr>
        <w:r>
          <w:fldChar w:fldCharType="begin"/>
        </w:r>
        <w:r>
          <w:instrText>PAGE   \* MERGEFORMAT</w:instrText>
        </w:r>
        <w:r>
          <w:fldChar w:fldCharType="separate"/>
        </w:r>
        <w:r>
          <w:t>2</w:t>
        </w:r>
        <w:r>
          <w:fldChar w:fldCharType="end"/>
        </w:r>
      </w:p>
    </w:sdtContent>
  </w:sdt>
  <w:p w14:paraId="19905552" w14:textId="77777777" w:rsidR="00BD3AA7" w:rsidRDefault="00BD3AA7" w:rsidP="00A7271F">
    <w:pPr>
      <w:pStyle w:val="Stopka"/>
      <w:tabs>
        <w:tab w:val="left" w:pos="825"/>
        <w:tab w:val="right" w:pos="9292"/>
      </w:tabs>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4CCA860" w14:textId="77777777" w:rsidR="00BD3AA7" w:rsidRDefault="004B346D" w:rsidP="00AA037C">
    <w:pPr>
      <w:pStyle w:val="Stopka"/>
      <w:tabs>
        <w:tab w:val="center" w:pos="4646"/>
        <w:tab w:val="right" w:pos="9292"/>
      </w:tabs>
    </w:pPr>
    <w:r>
      <w:rPr>
        <w:noProof/>
      </w:rPr>
      <w:drawing>
        <wp:anchor distT="0" distB="0" distL="114300" distR="114300" simplePos="0" relativeHeight="251663360" behindDoc="0" locked="0" layoutInCell="1" allowOverlap="1" wp14:anchorId="576C1F4D" wp14:editId="69F9B100">
          <wp:simplePos x="0" y="0"/>
          <wp:positionH relativeFrom="page">
            <wp:posOffset>5626100</wp:posOffset>
          </wp:positionH>
          <wp:positionV relativeFrom="page">
            <wp:posOffset>9731375</wp:posOffset>
          </wp:positionV>
          <wp:extent cx="1911350" cy="361950"/>
          <wp:effectExtent l="0" t="0" r="0" b="0"/>
          <wp:wrapNone/>
          <wp:docPr id="15" name="Obraz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911350" cy="361950"/>
                  </a:xfrm>
                  <a:prstGeom prst="rect">
                    <a:avLst/>
                  </a:prstGeom>
                  <a:noFill/>
                  <a:ln>
                    <a:noFill/>
                  </a:ln>
                  <a:extLst>
                    <a:ext uri="{FAA26D3D-D897-4be2-8F04-BA451C77F1D7}">
                      <ma14:placeholderFlag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xmlns:arto="http://schemas.microsoft.com/office/word/2006/arto" xmlns:w16sdtfl="http://schemas.microsoft.com/office/word/2024/wordml/sdtformatlock" xmlns:w16du="http://schemas.microsoft.com/office/word/2023/wordml/word16du"/>
                    </a:ext>
                  </a:extLst>
                </pic:spPr>
              </pic:pic>
            </a:graphicData>
          </a:graphic>
          <wp14:sizeRelH relativeFrom="page">
            <wp14:pctWidth>0</wp14:pctWidth>
          </wp14:sizeRelH>
          <wp14:sizeRelV relativeFrom="page">
            <wp14:pctHeight>0</wp14:pctHeight>
          </wp14:sizeRelV>
        </wp:anchor>
      </w:drawing>
    </w:r>
    <w:r>
      <w:tab/>
    </w:r>
    <w:r>
      <w:tab/>
    </w:r>
    <w:r>
      <w:tab/>
    </w:r>
    <w:r>
      <w:tab/>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D803BE1" w14:textId="77777777" w:rsidR="00BD3AA7" w:rsidRDefault="00BD3AA7">
    <w:pPr>
      <w:pStyle w:val="Stopka"/>
    </w:pPr>
  </w:p>
  <w:p w14:paraId="2B8600E1" w14:textId="77777777" w:rsidR="00BD3AA7" w:rsidRDefault="00BD3AA7" w:rsidP="00A7271F">
    <w:pPr>
      <w:pStyle w:val="Stopka"/>
      <w:jc w:val="center"/>
    </w:pPr>
  </w:p>
  <w:p w14:paraId="4EDC7EEB" w14:textId="77777777" w:rsidR="00BD3AA7" w:rsidRDefault="004B346D">
    <w:pPr>
      <w:pStyle w:val="Stopka"/>
    </w:pPr>
    <w:r>
      <w:rPr>
        <w:noProof/>
      </w:rPr>
      <w:drawing>
        <wp:anchor distT="0" distB="0" distL="114300" distR="114300" simplePos="0" relativeHeight="251662336" behindDoc="0" locked="0" layoutInCell="1" allowOverlap="1" wp14:anchorId="705A993C" wp14:editId="5EB598B1">
          <wp:simplePos x="0" y="0"/>
          <wp:positionH relativeFrom="page">
            <wp:posOffset>5626100</wp:posOffset>
          </wp:positionH>
          <wp:positionV relativeFrom="page">
            <wp:posOffset>9732010</wp:posOffset>
          </wp:positionV>
          <wp:extent cx="1911350" cy="361950"/>
          <wp:effectExtent l="0" t="0" r="0" b="0"/>
          <wp:wrapNone/>
          <wp:docPr id="17" name="Obraz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911350" cy="361950"/>
                  </a:xfrm>
                  <a:prstGeom prst="rect">
                    <a:avLst/>
                  </a:prstGeom>
                  <a:noFill/>
                  <a:ln>
                    <a:noFill/>
                  </a:ln>
                  <a:extLst>
                    <a:ext uri="{FAA26D3D-D897-4be2-8F04-BA451C77F1D7}">
                      <ma14:placeholder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xmlns:arto="http://schemas.microsoft.com/office/word/2006/arto" xmlns:w16sdtfl="http://schemas.microsoft.com/office/word/2024/wordml/sdtformatlock" xmlns:w16du="http://schemas.microsoft.com/office/word/2023/wordml/word16du"/>
                    </a:ext>
                  </a:extLst>
                </pic:spPr>
              </pic:pic>
            </a:graphicData>
          </a:graphic>
          <wp14:sizeRelH relativeFrom="page">
            <wp14:pctWidth>0</wp14:pctWidth>
          </wp14:sizeRelH>
          <wp14:sizeRelV relativeFrom="page">
            <wp14:pctHeight>0</wp14:pctHeight>
          </wp14:sizeRelV>
        </wp:anchor>
      </w:drawing>
    </w:r>
    <w:r>
      <w:rPr>
        <w:noProof/>
      </w:rPr>
      <mc:AlternateContent>
        <mc:Choice Requires="wps">
          <w:drawing>
            <wp:anchor distT="0" distB="0" distL="114300" distR="114300" simplePos="0" relativeHeight="251661312" behindDoc="0" locked="0" layoutInCell="1" allowOverlap="1" wp14:anchorId="77AFAEEA" wp14:editId="29D64770">
              <wp:simplePos x="0" y="0"/>
              <wp:positionH relativeFrom="page">
                <wp:posOffset>4161790</wp:posOffset>
              </wp:positionH>
              <wp:positionV relativeFrom="page">
                <wp:posOffset>9742805</wp:posOffset>
              </wp:positionV>
              <wp:extent cx="1193165" cy="380365"/>
              <wp:effectExtent l="0" t="0" r="635" b="635"/>
              <wp:wrapNone/>
              <wp:docPr id="8" name="Pole tekstowe 8"/>
              <wp:cNvGraphicFramePr/>
              <a:graphic xmlns:a="http://schemas.openxmlformats.org/drawingml/2006/main">
                <a:graphicData uri="http://schemas.microsoft.com/office/word/2010/wordprocessingShape">
                  <wps:wsp>
                    <wps:cNvSpPr txBox="1"/>
                    <wps:spPr>
                      <a:xfrm>
                        <a:off x="0" y="0"/>
                        <a:ext cx="1193165" cy="380365"/>
                      </a:xfrm>
                      <a:prstGeom prst="rect">
                        <a:avLst/>
                      </a:prstGeom>
                      <a:noFill/>
                      <a:ln>
                        <a:noFill/>
                      </a:ln>
                      <a:effectLst/>
                      <a:extLst>
                        <a:ext uri="{C572A759-6A51-4108-AA02-DFA0A04FC94B}">
                          <ma14:wrappingTextBoxFlag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xmlns:w16sdtfl="http://schemas.microsoft.com/office/word/2024/wordml/sdtformatlock" xmlns:w16du="http://schemas.microsoft.com/office/word/2023/wordml/word16du"/>
                        </a:ext>
                      </a:extLst>
                    </wps:spPr>
                    <wps:txbx>
                      <w:txbxContent>
                        <w:p w14:paraId="02AF0627" w14:textId="77777777" w:rsidR="00BD3AA7" w:rsidRPr="005B267F" w:rsidRDefault="00BD3AA7" w:rsidP="005B267F">
                          <w:pPr>
                            <w:spacing w:after="0"/>
                            <w:rPr>
                              <w:sz w:val="12"/>
                              <w:szCs w:val="12"/>
                              <w:lang w:val="pl-PL"/>
                            </w:rPr>
                          </w:pP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du="http://schemas.microsoft.com/office/word/2023/wordml/word16du">
          <w:pict>
            <v:shapetype w14:anchorId="77AFAEEA" id="_x0000_t202" coordsize="21600,21600" o:spt="202" path="m,l,21600r21600,l21600,xe">
              <v:stroke joinstyle="miter"/>
              <v:path gradientshapeok="t" o:connecttype="rect"/>
            </v:shapetype>
            <v:shape id="Pole tekstowe 8" o:spid="_x0000_s1026" type="#_x0000_t202" style="position:absolute;margin-left:327.7pt;margin-top:767.15pt;width:93.95pt;height:29.95pt;z-index:25166131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" filled="f" stroked="f">
              <v:textbox inset="0,0,0,0">
                <w:txbxContent>
                  <w:p w14:paraId="02AF0627" w14:textId="77777777" w:rsidR="00BD3AA7" w:rsidRPr="005B267F" w:rsidRDefault="00BD3AA7" w:rsidP="005B267F">
                    <w:pPr>
                      <w:spacing w:after="0"/>
                      <w:rPr>
                        <w:sz w:val="12"/>
                        <w:szCs w:val="12"/>
                        <w:lang w:val="pl-PL"/>
                      </w:rPr>
                    </w:pPr>
                  </w:p>
                </w:txbxContent>
              </v:textbox>
              <w10:wrap anchorx="page" anchory="page"/>
            </v:shape>
          </w:pict>
        </mc:Fallback>
      </mc:AlternateContent>
    </w:r>
    <w:r>
      <w:rPr>
        <w:noProof/>
      </w:rPr>
      <mc:AlternateContent>
        <mc:Choice Requires="wps">
          <w:drawing>
            <wp:anchor distT="0" distB="0" distL="114300" distR="114300" simplePos="0" relativeHeight="251660288" behindDoc="0" locked="0" layoutInCell="1" allowOverlap="1" wp14:anchorId="1C7F540E" wp14:editId="5BC851AF">
              <wp:simplePos x="0" y="0"/>
              <wp:positionH relativeFrom="margin">
                <wp:align>left</wp:align>
              </wp:positionH>
              <wp:positionV relativeFrom="page">
                <wp:posOffset>9742805</wp:posOffset>
              </wp:positionV>
              <wp:extent cx="2856865" cy="626745"/>
              <wp:effectExtent l="0" t="0" r="635" b="1905"/>
              <wp:wrapNone/>
              <wp:docPr id="2" name="Pole tekstowe 2"/>
              <wp:cNvGraphicFramePr/>
              <a:graphic xmlns:a="http://schemas.openxmlformats.org/drawingml/2006/main">
                <a:graphicData uri="http://schemas.microsoft.com/office/word/2010/wordprocessingShape">
                  <wps:wsp>
                    <wps:cNvSpPr txBox="1"/>
                    <wps:spPr>
                      <a:xfrm>
                        <a:off x="0" y="0"/>
                        <a:ext cx="2856865" cy="626745"/>
                      </a:xfrm>
                      <a:prstGeom prst="rect">
                        <a:avLst/>
                      </a:prstGeom>
                      <a:noFill/>
                      <a:ln>
                        <a:noFill/>
                      </a:ln>
                      <a:effectLst/>
                      <a:extLst>
                        <a:ext uri="{C572A759-6A51-4108-AA02-DFA0A04FC94B}">
                          <ma14:wrappingTextBoxFlag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xmlns:w16sdtfl="http://schemas.microsoft.com/office/word/2024/wordml/sdtformatlock" xmlns:w16du="http://schemas.microsoft.com/office/word/2023/wordml/word16du"/>
                        </a:ext>
                      </a:extLst>
                    </wps:spPr>
                    <wps:txbx>
                      <w:txbxContent>
                        <w:p w14:paraId="7E60A07C" w14:textId="77777777" w:rsidR="00BD3AA7" w:rsidRPr="005B267F" w:rsidRDefault="00BD3AA7" w:rsidP="005B267F">
                          <w:pPr>
                            <w:spacing w:after="0"/>
                            <w:rPr>
                              <w:sz w:val="12"/>
                              <w:szCs w:val="12"/>
                              <w:lang w:val="pl-PL"/>
                            </w:rPr>
                          </w:pP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xmlns:w16sdtfl="http://schemas.microsoft.com/office/word/2024/wordml/sdtformatlock" xmlns:w16du="http://schemas.microsoft.com/office/word/2023/wordml/word16du">
          <w:pict>
            <v:shape w14:anchorId="1C7F540E" id="Pole tekstowe 2" o:spid="_x0000_s1027" type="#_x0000_t202" style="position:absolute;margin-left:0;margin-top:767.15pt;width:224.95pt;height:49.35pt;z-index:251660288;visibility:visible;mso-wrap-style:square;mso-width-percent:0;mso-wrap-distance-left:9pt;mso-wrap-distance-top:0;mso-wrap-distance-right:9pt;mso-wrap-distance-bottom:0;mso-position-horizontal:left;mso-position-horizontal-relative:margin;mso-position-vertical:absolute;mso-position-vertical-relative:page;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" filled="f" stroked="f">
              <v:textbox inset="0,0,0,0">
                <w:txbxContent>
                  <w:p w14:paraId="7E60A07C" w14:textId="77777777" w:rsidR="00BD3AA7" w:rsidRPr="005B267F" w:rsidRDefault="00BD3AA7" w:rsidP="005B267F">
                    <w:pPr>
                      <w:spacing w:after="0"/>
                      <w:rPr>
                        <w:sz w:val="12"/>
                        <w:szCs w:val="12"/>
                        <w:lang w:val="pl-PL"/>
                      </w:rPr>
                    </w:pPr>
                  </w:p>
                </w:txbxContent>
              </v:textbox>
              <w10:wrap anchorx="margin"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C58FA93" w14:textId="77777777" w:rsidR="00596AA5" w:rsidRDefault="00596AA5">
      <w:pPr>
        <w:spacing w:after="0"/>
      </w:pPr>
      <w:r>
        <w:separator/>
      </w:r>
    </w:p>
  </w:footnote>
  <w:footnote w:type="continuationSeparator" w:id="0">
    <w:p w14:paraId="18D8EE43" w14:textId="77777777" w:rsidR="00596AA5" w:rsidRDefault="00596AA5">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2AE8C67" w14:textId="77777777" w:rsidR="00BD3AA7" w:rsidRDefault="00BD3AA7">
    <w:pPr>
      <w:pStyle w:val="Nagwek"/>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C62D9CF" w14:textId="77777777" w:rsidR="00BD3AA7" w:rsidRDefault="00BD3AA7">
    <w:pPr>
      <w:pStyle w:val="Nagwek"/>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39BB2ED" w14:textId="77777777" w:rsidR="00BD3AA7" w:rsidRDefault="004B346D">
    <w:pPr>
      <w:pStyle w:val="Nagwek"/>
    </w:pPr>
    <w:r>
      <w:rPr>
        <w:noProof/>
      </w:rPr>
      <w:drawing>
        <wp:anchor distT="0" distB="0" distL="114300" distR="114300" simplePos="0" relativeHeight="251659264" behindDoc="0" locked="0" layoutInCell="1" allowOverlap="1" wp14:anchorId="2B0839A6" wp14:editId="75985750">
          <wp:simplePos x="0" y="0"/>
          <wp:positionH relativeFrom="page">
            <wp:posOffset>408940</wp:posOffset>
          </wp:positionH>
          <wp:positionV relativeFrom="page">
            <wp:posOffset>391795</wp:posOffset>
          </wp:positionV>
          <wp:extent cx="1860550" cy="478155"/>
          <wp:effectExtent l="0" t="0" r="0" b="4445"/>
          <wp:wrapNone/>
          <wp:docPr id="16" name="Obraz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60550" cy="478155"/>
                  </a:xfrm>
                  <a:prstGeom prst="rect">
                    <a:avLst/>
                  </a:prstGeom>
                  <a:noFill/>
                  <a:ln>
                    <a:noFill/>
                  </a:ln>
                  <a:extLst>
                    <a:ext uri="{FAA26D3D-D897-4be2-8F04-BA451C77F1D7}">
                      <ma14:placeholderFlag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xmlns:arto="http://schemas.microsoft.com/office/word/2006/arto" xmlns:w16sdtfl="http://schemas.microsoft.com/office/word/2024/wordml/sdtformatlock" xmlns:w16du="http://schemas.microsoft.com/office/word/2023/wordml/word16du"/>
                    </a:ext>
                  </a:extLst>
                </pic:spPr>
              </pic:pic>
            </a:graphicData>
          </a:graphic>
          <wp14:sizeRelH relativeFrom="page">
            <wp14:pctWidth>0</wp14:pctWidth>
          </wp14:sizeRelH>
          <wp14:sizeRelV relativeFrom="page">
            <wp14:pctHeight>0</wp14:pctHeight>
          </wp14:sizeRelV>
        </wp:anchor>
      </w:drawing>
    </w:r>
  </w:p>
  <w:p w14:paraId="672C2036" w14:textId="77777777" w:rsidR="00BD3AA7" w:rsidRDefault="00BD3AA7">
    <w:pPr>
      <w:pStyle w:val="Nagwek"/>
    </w:pPr>
  </w:p>
  <w:p w14:paraId="22DCA9F6" w14:textId="77777777" w:rsidR="00BD3AA7" w:rsidRDefault="00BD3AA7">
    <w:pPr>
      <w:pStyle w:val="Nagwek"/>
    </w:pPr>
  </w:p>
  <w:p w14:paraId="0670FCE4" w14:textId="77777777" w:rsidR="00BD3AA7" w:rsidRDefault="00BD3AA7">
    <w:pPr>
      <w:pStyle w:val="Nagwek"/>
    </w:pPr>
  </w:p>
  <w:p w14:paraId="37A264FC" w14:textId="77777777" w:rsidR="00BD3AA7" w:rsidRDefault="00BD3AA7">
    <w:pPr>
      <w:pStyle w:val="Nagwek"/>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9F7A75"/>
    <w:multiLevelType w:val="hybridMultilevel"/>
    <w:tmpl w:val="0D7E0EDC"/>
    <w:lvl w:ilvl="0" w:tplc="4E4419AC">
      <w:start w:val="1"/>
      <w:numFmt w:val="decimal"/>
      <w:lvlText w:val="%1."/>
      <w:lvlJc w:val="left"/>
      <w:pPr>
        <w:ind w:left="720" w:hanging="360"/>
      </w:pPr>
      <w:rPr>
        <w:b w:val="0"/>
        <w:bCs w:val="0"/>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1" w15:restartNumberingAfterBreak="0">
    <w:nsid w:val="12062E0F"/>
    <w:multiLevelType w:val="hybridMultilevel"/>
    <w:tmpl w:val="C01EC790"/>
    <w:lvl w:ilvl="0" w:tplc="5ADC1304">
      <w:start w:val="1"/>
      <w:numFmt w:val="lowerLetter"/>
      <w:lvlText w:val="%1)"/>
      <w:lvlJc w:val="left"/>
      <w:pPr>
        <w:ind w:left="1080" w:hanging="360"/>
      </w:pPr>
    </w:lvl>
    <w:lvl w:ilvl="1" w:tplc="04150019">
      <w:start w:val="1"/>
      <w:numFmt w:val="lowerLetter"/>
      <w:lvlText w:val="%2."/>
      <w:lvlJc w:val="left"/>
      <w:pPr>
        <w:ind w:left="1800" w:hanging="360"/>
      </w:pPr>
    </w:lvl>
    <w:lvl w:ilvl="2" w:tplc="0415001B">
      <w:start w:val="1"/>
      <w:numFmt w:val="lowerRoman"/>
      <w:lvlText w:val="%3."/>
      <w:lvlJc w:val="right"/>
      <w:pPr>
        <w:ind w:left="2520" w:hanging="180"/>
      </w:pPr>
    </w:lvl>
    <w:lvl w:ilvl="3" w:tplc="0415000F">
      <w:start w:val="1"/>
      <w:numFmt w:val="decimal"/>
      <w:lvlText w:val="%4."/>
      <w:lvlJc w:val="left"/>
      <w:pPr>
        <w:ind w:left="3240" w:hanging="360"/>
      </w:pPr>
    </w:lvl>
    <w:lvl w:ilvl="4" w:tplc="04150019">
      <w:start w:val="1"/>
      <w:numFmt w:val="lowerLetter"/>
      <w:lvlText w:val="%5."/>
      <w:lvlJc w:val="left"/>
      <w:pPr>
        <w:ind w:left="3960" w:hanging="360"/>
      </w:pPr>
    </w:lvl>
    <w:lvl w:ilvl="5" w:tplc="0415001B">
      <w:start w:val="1"/>
      <w:numFmt w:val="lowerRoman"/>
      <w:lvlText w:val="%6."/>
      <w:lvlJc w:val="right"/>
      <w:pPr>
        <w:ind w:left="4680" w:hanging="180"/>
      </w:pPr>
    </w:lvl>
    <w:lvl w:ilvl="6" w:tplc="0415000F">
      <w:start w:val="1"/>
      <w:numFmt w:val="decimal"/>
      <w:lvlText w:val="%7."/>
      <w:lvlJc w:val="left"/>
      <w:pPr>
        <w:ind w:left="5400" w:hanging="360"/>
      </w:pPr>
    </w:lvl>
    <w:lvl w:ilvl="7" w:tplc="04150019">
      <w:start w:val="1"/>
      <w:numFmt w:val="lowerLetter"/>
      <w:lvlText w:val="%8."/>
      <w:lvlJc w:val="left"/>
      <w:pPr>
        <w:ind w:left="6120" w:hanging="360"/>
      </w:pPr>
    </w:lvl>
    <w:lvl w:ilvl="8" w:tplc="0415001B">
      <w:start w:val="1"/>
      <w:numFmt w:val="lowerRoman"/>
      <w:lvlText w:val="%9."/>
      <w:lvlJc w:val="right"/>
      <w:pPr>
        <w:ind w:left="6840" w:hanging="180"/>
      </w:pPr>
    </w:lvl>
  </w:abstractNum>
  <w:abstractNum w:abstractNumId="2" w15:restartNumberingAfterBreak="0">
    <w:nsid w:val="14677570"/>
    <w:multiLevelType w:val="hybridMultilevel"/>
    <w:tmpl w:val="4058F9E2"/>
    <w:lvl w:ilvl="0" w:tplc="037029C4">
      <w:start w:val="1"/>
      <w:numFmt w:val="lowerLetter"/>
      <w:lvlText w:val="%1)"/>
      <w:lvlJc w:val="left"/>
      <w:pPr>
        <w:ind w:left="1080" w:hanging="360"/>
      </w:pPr>
      <w:rPr>
        <w:b w:val="0"/>
        <w:bCs w:val="0"/>
      </w:rPr>
    </w:lvl>
    <w:lvl w:ilvl="1" w:tplc="04150019">
      <w:start w:val="1"/>
      <w:numFmt w:val="lowerLetter"/>
      <w:lvlText w:val="%2."/>
      <w:lvlJc w:val="left"/>
      <w:pPr>
        <w:ind w:left="1800" w:hanging="360"/>
      </w:pPr>
    </w:lvl>
    <w:lvl w:ilvl="2" w:tplc="0415001B">
      <w:start w:val="1"/>
      <w:numFmt w:val="lowerRoman"/>
      <w:lvlText w:val="%3."/>
      <w:lvlJc w:val="right"/>
      <w:pPr>
        <w:ind w:left="2520" w:hanging="180"/>
      </w:pPr>
    </w:lvl>
    <w:lvl w:ilvl="3" w:tplc="0415000F">
      <w:start w:val="1"/>
      <w:numFmt w:val="decimal"/>
      <w:lvlText w:val="%4."/>
      <w:lvlJc w:val="left"/>
      <w:pPr>
        <w:ind w:left="3240" w:hanging="360"/>
      </w:pPr>
    </w:lvl>
    <w:lvl w:ilvl="4" w:tplc="04150019">
      <w:start w:val="1"/>
      <w:numFmt w:val="lowerLetter"/>
      <w:lvlText w:val="%5."/>
      <w:lvlJc w:val="left"/>
      <w:pPr>
        <w:ind w:left="3960" w:hanging="360"/>
      </w:pPr>
    </w:lvl>
    <w:lvl w:ilvl="5" w:tplc="0415001B">
      <w:start w:val="1"/>
      <w:numFmt w:val="lowerRoman"/>
      <w:lvlText w:val="%6."/>
      <w:lvlJc w:val="right"/>
      <w:pPr>
        <w:ind w:left="4680" w:hanging="180"/>
      </w:pPr>
    </w:lvl>
    <w:lvl w:ilvl="6" w:tplc="0415000F">
      <w:start w:val="1"/>
      <w:numFmt w:val="decimal"/>
      <w:lvlText w:val="%7."/>
      <w:lvlJc w:val="left"/>
      <w:pPr>
        <w:ind w:left="5400" w:hanging="360"/>
      </w:pPr>
    </w:lvl>
    <w:lvl w:ilvl="7" w:tplc="04150019">
      <w:start w:val="1"/>
      <w:numFmt w:val="lowerLetter"/>
      <w:lvlText w:val="%8."/>
      <w:lvlJc w:val="left"/>
      <w:pPr>
        <w:ind w:left="6120" w:hanging="360"/>
      </w:pPr>
    </w:lvl>
    <w:lvl w:ilvl="8" w:tplc="0415001B">
      <w:start w:val="1"/>
      <w:numFmt w:val="lowerRoman"/>
      <w:lvlText w:val="%9."/>
      <w:lvlJc w:val="right"/>
      <w:pPr>
        <w:ind w:left="6840" w:hanging="180"/>
      </w:pPr>
    </w:lvl>
  </w:abstractNum>
  <w:abstractNum w:abstractNumId="3" w15:restartNumberingAfterBreak="0">
    <w:nsid w:val="1C290F73"/>
    <w:multiLevelType w:val="hybridMultilevel"/>
    <w:tmpl w:val="F2F8AB2A"/>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4" w15:restartNumberingAfterBreak="0">
    <w:nsid w:val="2F0D3891"/>
    <w:multiLevelType w:val="hybridMultilevel"/>
    <w:tmpl w:val="139A4594"/>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5" w15:restartNumberingAfterBreak="0">
    <w:nsid w:val="319B523F"/>
    <w:multiLevelType w:val="hybridMultilevel"/>
    <w:tmpl w:val="8D9E5296"/>
    <w:lvl w:ilvl="0" w:tplc="FFFFFFFF">
      <w:start w:val="1"/>
      <w:numFmt w:val="lowerLetter"/>
      <w:lvlText w:val="%1)"/>
      <w:lvlJc w:val="left"/>
      <w:pPr>
        <w:ind w:left="1080" w:hanging="360"/>
      </w:pPr>
    </w:lvl>
    <w:lvl w:ilvl="1" w:tplc="FFFFFFFF">
      <w:start w:val="1"/>
      <w:numFmt w:val="lowerLetter"/>
      <w:lvlText w:val="%2."/>
      <w:lvlJc w:val="left"/>
      <w:pPr>
        <w:ind w:left="1800" w:hanging="360"/>
      </w:pPr>
    </w:lvl>
    <w:lvl w:ilvl="2" w:tplc="FFFFFFFF">
      <w:start w:val="1"/>
      <w:numFmt w:val="lowerRoman"/>
      <w:lvlText w:val="%3."/>
      <w:lvlJc w:val="right"/>
      <w:pPr>
        <w:ind w:left="2520" w:hanging="180"/>
      </w:pPr>
    </w:lvl>
    <w:lvl w:ilvl="3" w:tplc="FFFFFFFF">
      <w:start w:val="1"/>
      <w:numFmt w:val="decimal"/>
      <w:lvlText w:val="%4."/>
      <w:lvlJc w:val="left"/>
      <w:pPr>
        <w:ind w:left="3240" w:hanging="360"/>
      </w:pPr>
      <w:rPr>
        <w:b w:val="0"/>
        <w:bCs w:val="0"/>
      </w:rPr>
    </w:lvl>
    <w:lvl w:ilvl="4" w:tplc="FFFFFFFF">
      <w:start w:val="1"/>
      <w:numFmt w:val="lowerLetter"/>
      <w:lvlText w:val="%5."/>
      <w:lvlJc w:val="left"/>
      <w:pPr>
        <w:ind w:left="3960" w:hanging="360"/>
      </w:pPr>
    </w:lvl>
    <w:lvl w:ilvl="5" w:tplc="FFFFFFFF">
      <w:start w:val="1"/>
      <w:numFmt w:val="lowerRoman"/>
      <w:lvlText w:val="%6."/>
      <w:lvlJc w:val="right"/>
      <w:pPr>
        <w:ind w:left="4680" w:hanging="180"/>
      </w:pPr>
    </w:lvl>
    <w:lvl w:ilvl="6" w:tplc="FFFFFFFF">
      <w:start w:val="1"/>
      <w:numFmt w:val="decimal"/>
      <w:lvlText w:val="%7."/>
      <w:lvlJc w:val="left"/>
      <w:pPr>
        <w:ind w:left="5400" w:hanging="360"/>
      </w:pPr>
    </w:lvl>
    <w:lvl w:ilvl="7" w:tplc="FFFFFFFF">
      <w:start w:val="1"/>
      <w:numFmt w:val="lowerLetter"/>
      <w:lvlText w:val="%8."/>
      <w:lvlJc w:val="left"/>
      <w:pPr>
        <w:ind w:left="6120" w:hanging="360"/>
      </w:pPr>
    </w:lvl>
    <w:lvl w:ilvl="8" w:tplc="FFFFFFFF">
      <w:start w:val="1"/>
      <w:numFmt w:val="lowerRoman"/>
      <w:lvlText w:val="%9."/>
      <w:lvlJc w:val="right"/>
      <w:pPr>
        <w:ind w:left="6840" w:hanging="180"/>
      </w:pPr>
    </w:lvl>
  </w:abstractNum>
  <w:abstractNum w:abstractNumId="6" w15:restartNumberingAfterBreak="0">
    <w:nsid w:val="3A551313"/>
    <w:multiLevelType w:val="hybridMultilevel"/>
    <w:tmpl w:val="D1AE9C4A"/>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 w15:restartNumberingAfterBreak="0">
    <w:nsid w:val="3B142C90"/>
    <w:multiLevelType w:val="hybridMultilevel"/>
    <w:tmpl w:val="961C2BCC"/>
    <w:lvl w:ilvl="0" w:tplc="F12A5ABA">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 w15:restartNumberingAfterBreak="0">
    <w:nsid w:val="52316AA3"/>
    <w:multiLevelType w:val="hybridMultilevel"/>
    <w:tmpl w:val="79B812C0"/>
    <w:lvl w:ilvl="0" w:tplc="80583898">
      <w:start w:val="1"/>
      <w:numFmt w:val="lowerLetter"/>
      <w:lvlText w:val="%1)"/>
      <w:lvlJc w:val="left"/>
      <w:pPr>
        <w:ind w:left="1080" w:hanging="360"/>
      </w:pPr>
    </w:lvl>
    <w:lvl w:ilvl="1" w:tplc="04150019">
      <w:start w:val="1"/>
      <w:numFmt w:val="lowerLetter"/>
      <w:lvlText w:val="%2."/>
      <w:lvlJc w:val="left"/>
      <w:pPr>
        <w:ind w:left="1800" w:hanging="360"/>
      </w:pPr>
    </w:lvl>
    <w:lvl w:ilvl="2" w:tplc="0415001B">
      <w:start w:val="1"/>
      <w:numFmt w:val="lowerRoman"/>
      <w:lvlText w:val="%3."/>
      <w:lvlJc w:val="right"/>
      <w:pPr>
        <w:ind w:left="2520" w:hanging="180"/>
      </w:pPr>
    </w:lvl>
    <w:lvl w:ilvl="3" w:tplc="0415000F">
      <w:start w:val="1"/>
      <w:numFmt w:val="decimal"/>
      <w:lvlText w:val="%4."/>
      <w:lvlJc w:val="left"/>
      <w:pPr>
        <w:ind w:left="3240" w:hanging="360"/>
      </w:pPr>
    </w:lvl>
    <w:lvl w:ilvl="4" w:tplc="04150019">
      <w:start w:val="1"/>
      <w:numFmt w:val="lowerLetter"/>
      <w:lvlText w:val="%5."/>
      <w:lvlJc w:val="left"/>
      <w:pPr>
        <w:ind w:left="3960" w:hanging="360"/>
      </w:pPr>
    </w:lvl>
    <w:lvl w:ilvl="5" w:tplc="0415001B">
      <w:start w:val="1"/>
      <w:numFmt w:val="lowerRoman"/>
      <w:lvlText w:val="%6."/>
      <w:lvlJc w:val="right"/>
      <w:pPr>
        <w:ind w:left="4680" w:hanging="180"/>
      </w:pPr>
    </w:lvl>
    <w:lvl w:ilvl="6" w:tplc="0415000F">
      <w:start w:val="1"/>
      <w:numFmt w:val="decimal"/>
      <w:lvlText w:val="%7."/>
      <w:lvlJc w:val="left"/>
      <w:pPr>
        <w:ind w:left="5400" w:hanging="360"/>
      </w:pPr>
    </w:lvl>
    <w:lvl w:ilvl="7" w:tplc="04150019">
      <w:start w:val="1"/>
      <w:numFmt w:val="lowerLetter"/>
      <w:lvlText w:val="%8."/>
      <w:lvlJc w:val="left"/>
      <w:pPr>
        <w:ind w:left="6120" w:hanging="360"/>
      </w:pPr>
    </w:lvl>
    <w:lvl w:ilvl="8" w:tplc="0415001B">
      <w:start w:val="1"/>
      <w:numFmt w:val="lowerRoman"/>
      <w:lvlText w:val="%9."/>
      <w:lvlJc w:val="right"/>
      <w:pPr>
        <w:ind w:left="6840" w:hanging="180"/>
      </w:pPr>
    </w:lvl>
  </w:abstractNum>
  <w:abstractNum w:abstractNumId="9" w15:restartNumberingAfterBreak="0">
    <w:nsid w:val="55CC3EB5"/>
    <w:multiLevelType w:val="hybridMultilevel"/>
    <w:tmpl w:val="42C4B02A"/>
    <w:lvl w:ilvl="0" w:tplc="87E4BF24">
      <w:start w:val="1"/>
      <w:numFmt w:val="decimal"/>
      <w:lvlText w:val="%1."/>
      <w:lvlJc w:val="left"/>
      <w:pPr>
        <w:ind w:left="720" w:hanging="360"/>
      </w:pPr>
      <w:rPr>
        <w:b w:val="0"/>
        <w:bCs w:val="0"/>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10" w15:restartNumberingAfterBreak="0">
    <w:nsid w:val="5C1A1336"/>
    <w:multiLevelType w:val="hybridMultilevel"/>
    <w:tmpl w:val="FC3AFE18"/>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11" w15:restartNumberingAfterBreak="0">
    <w:nsid w:val="71CE3147"/>
    <w:multiLevelType w:val="hybridMultilevel"/>
    <w:tmpl w:val="EB5E1F08"/>
    <w:lvl w:ilvl="0" w:tplc="D442669C">
      <w:start w:val="1"/>
      <w:numFmt w:val="lowerLetter"/>
      <w:lvlText w:val="%1)"/>
      <w:lvlJc w:val="left"/>
      <w:pPr>
        <w:ind w:left="1440" w:hanging="360"/>
      </w:pPr>
    </w:lvl>
    <w:lvl w:ilvl="1" w:tplc="04150019">
      <w:start w:val="1"/>
      <w:numFmt w:val="lowerLetter"/>
      <w:lvlText w:val="%2."/>
      <w:lvlJc w:val="left"/>
      <w:pPr>
        <w:ind w:left="2160" w:hanging="360"/>
      </w:pPr>
    </w:lvl>
    <w:lvl w:ilvl="2" w:tplc="0415001B">
      <w:start w:val="1"/>
      <w:numFmt w:val="lowerRoman"/>
      <w:lvlText w:val="%3."/>
      <w:lvlJc w:val="right"/>
      <w:pPr>
        <w:ind w:left="2880" w:hanging="180"/>
      </w:pPr>
    </w:lvl>
    <w:lvl w:ilvl="3" w:tplc="0415000F">
      <w:start w:val="1"/>
      <w:numFmt w:val="decimal"/>
      <w:lvlText w:val="%4."/>
      <w:lvlJc w:val="left"/>
      <w:pPr>
        <w:ind w:left="3600" w:hanging="360"/>
      </w:pPr>
    </w:lvl>
    <w:lvl w:ilvl="4" w:tplc="04150019">
      <w:start w:val="1"/>
      <w:numFmt w:val="lowerLetter"/>
      <w:lvlText w:val="%5."/>
      <w:lvlJc w:val="left"/>
      <w:pPr>
        <w:ind w:left="4320" w:hanging="360"/>
      </w:pPr>
    </w:lvl>
    <w:lvl w:ilvl="5" w:tplc="0415001B">
      <w:start w:val="1"/>
      <w:numFmt w:val="lowerRoman"/>
      <w:lvlText w:val="%6."/>
      <w:lvlJc w:val="right"/>
      <w:pPr>
        <w:ind w:left="5040" w:hanging="180"/>
      </w:pPr>
    </w:lvl>
    <w:lvl w:ilvl="6" w:tplc="0415000F">
      <w:start w:val="1"/>
      <w:numFmt w:val="decimal"/>
      <w:lvlText w:val="%7."/>
      <w:lvlJc w:val="left"/>
      <w:pPr>
        <w:ind w:left="5760" w:hanging="360"/>
      </w:pPr>
    </w:lvl>
    <w:lvl w:ilvl="7" w:tplc="04150019">
      <w:start w:val="1"/>
      <w:numFmt w:val="lowerLetter"/>
      <w:lvlText w:val="%8."/>
      <w:lvlJc w:val="left"/>
      <w:pPr>
        <w:ind w:left="6480" w:hanging="360"/>
      </w:pPr>
    </w:lvl>
    <w:lvl w:ilvl="8" w:tplc="0415001B">
      <w:start w:val="1"/>
      <w:numFmt w:val="lowerRoman"/>
      <w:lvlText w:val="%9."/>
      <w:lvlJc w:val="right"/>
      <w:pPr>
        <w:ind w:left="7200" w:hanging="180"/>
      </w:pPr>
    </w:lvl>
  </w:abstractNum>
  <w:abstractNum w:abstractNumId="12" w15:restartNumberingAfterBreak="0">
    <w:nsid w:val="72B42494"/>
    <w:multiLevelType w:val="hybridMultilevel"/>
    <w:tmpl w:val="026092FE"/>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 w15:restartNumberingAfterBreak="0">
    <w:nsid w:val="768F1C0D"/>
    <w:multiLevelType w:val="hybridMultilevel"/>
    <w:tmpl w:val="B504104E"/>
    <w:lvl w:ilvl="0" w:tplc="CB9A499E">
      <w:start w:val="1"/>
      <w:numFmt w:val="lowerLetter"/>
      <w:lvlText w:val="%1)"/>
      <w:lvlJc w:val="left"/>
      <w:pPr>
        <w:ind w:left="1080" w:hanging="36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4" w15:restartNumberingAfterBreak="0">
    <w:nsid w:val="7F344921"/>
    <w:multiLevelType w:val="hybridMultilevel"/>
    <w:tmpl w:val="8D9E5296"/>
    <w:lvl w:ilvl="0" w:tplc="2A56AE00">
      <w:start w:val="1"/>
      <w:numFmt w:val="lowerLetter"/>
      <w:lvlText w:val="%1)"/>
      <w:lvlJc w:val="left"/>
      <w:pPr>
        <w:ind w:left="1080" w:hanging="360"/>
      </w:pPr>
    </w:lvl>
    <w:lvl w:ilvl="1" w:tplc="04150019">
      <w:start w:val="1"/>
      <w:numFmt w:val="lowerLetter"/>
      <w:lvlText w:val="%2."/>
      <w:lvlJc w:val="left"/>
      <w:pPr>
        <w:ind w:left="1800" w:hanging="360"/>
      </w:pPr>
    </w:lvl>
    <w:lvl w:ilvl="2" w:tplc="0415001B">
      <w:start w:val="1"/>
      <w:numFmt w:val="lowerRoman"/>
      <w:lvlText w:val="%3."/>
      <w:lvlJc w:val="right"/>
      <w:pPr>
        <w:ind w:left="2520" w:hanging="180"/>
      </w:pPr>
    </w:lvl>
    <w:lvl w:ilvl="3" w:tplc="956E3836">
      <w:start w:val="1"/>
      <w:numFmt w:val="decimal"/>
      <w:lvlText w:val="%4."/>
      <w:lvlJc w:val="left"/>
      <w:pPr>
        <w:ind w:left="3240" w:hanging="360"/>
      </w:pPr>
      <w:rPr>
        <w:b w:val="0"/>
        <w:bCs w:val="0"/>
      </w:rPr>
    </w:lvl>
    <w:lvl w:ilvl="4" w:tplc="04150019">
      <w:start w:val="1"/>
      <w:numFmt w:val="lowerLetter"/>
      <w:lvlText w:val="%5."/>
      <w:lvlJc w:val="left"/>
      <w:pPr>
        <w:ind w:left="3960" w:hanging="360"/>
      </w:pPr>
    </w:lvl>
    <w:lvl w:ilvl="5" w:tplc="0415001B">
      <w:start w:val="1"/>
      <w:numFmt w:val="lowerRoman"/>
      <w:lvlText w:val="%6."/>
      <w:lvlJc w:val="right"/>
      <w:pPr>
        <w:ind w:left="4680" w:hanging="180"/>
      </w:pPr>
    </w:lvl>
    <w:lvl w:ilvl="6" w:tplc="0415000F">
      <w:start w:val="1"/>
      <w:numFmt w:val="decimal"/>
      <w:lvlText w:val="%7."/>
      <w:lvlJc w:val="left"/>
      <w:pPr>
        <w:ind w:left="5400" w:hanging="360"/>
      </w:pPr>
    </w:lvl>
    <w:lvl w:ilvl="7" w:tplc="04150019">
      <w:start w:val="1"/>
      <w:numFmt w:val="lowerLetter"/>
      <w:lvlText w:val="%8."/>
      <w:lvlJc w:val="left"/>
      <w:pPr>
        <w:ind w:left="6120" w:hanging="360"/>
      </w:pPr>
    </w:lvl>
    <w:lvl w:ilvl="8" w:tplc="0415001B">
      <w:start w:val="1"/>
      <w:numFmt w:val="lowerRoman"/>
      <w:lvlText w:val="%9."/>
      <w:lvlJc w:val="right"/>
      <w:pPr>
        <w:ind w:left="6840" w:hanging="180"/>
      </w:pPr>
    </w:lvl>
  </w:abstractNum>
  <w:num w:numId="1" w16cid:durableId="513619393">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467702680">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639194293">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994023364">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00069924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995109019">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1114860410">
    <w:abstractNumId w:val="9"/>
  </w:num>
  <w:num w:numId="8" w16cid:durableId="487524084">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393235906">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9480384">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271012588">
    <w:abstractNumId w:val="5"/>
  </w:num>
  <w:num w:numId="12" w16cid:durableId="335232680">
    <w:abstractNumId w:val="13"/>
  </w:num>
  <w:num w:numId="13" w16cid:durableId="1786465116">
    <w:abstractNumId w:val="6"/>
  </w:num>
  <w:num w:numId="14" w16cid:durableId="53164572">
    <w:abstractNumId w:val="12"/>
  </w:num>
  <w:num w:numId="15" w16cid:durableId="93021852">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ocumentProtection w:edit="readOnly" w:enforcement="1" w:cryptProviderType="rsaAES" w:cryptAlgorithmClass="hash" w:cryptAlgorithmType="typeAny" w:cryptAlgorithmSid="14" w:cryptSpinCount="100000" w:hash="Ds4hZKvO8vDXDNe3tM1Yrdi9dfPg3LXUo7XHGwAeEZ6TdffQzkWAOBE4J5Uhq0i67v+m94XEdQj6bh+WqBfiMQ==" w:salt="YLY780lX5VHndPz1iYpUOQ=="/>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2452F"/>
    <w:rsid w:val="00030D00"/>
    <w:rsid w:val="000E1C2D"/>
    <w:rsid w:val="001C74D7"/>
    <w:rsid w:val="00200375"/>
    <w:rsid w:val="00243DCE"/>
    <w:rsid w:val="002C0033"/>
    <w:rsid w:val="00361EDC"/>
    <w:rsid w:val="00461C0F"/>
    <w:rsid w:val="004B346D"/>
    <w:rsid w:val="004C5F9C"/>
    <w:rsid w:val="00596AA5"/>
    <w:rsid w:val="00636616"/>
    <w:rsid w:val="006A25CF"/>
    <w:rsid w:val="00731101"/>
    <w:rsid w:val="00817A58"/>
    <w:rsid w:val="008B1A53"/>
    <w:rsid w:val="0092452F"/>
    <w:rsid w:val="00A675A8"/>
    <w:rsid w:val="00BC42E1"/>
    <w:rsid w:val="00BD3AA7"/>
    <w:rsid w:val="00C64A77"/>
    <w:rsid w:val="00E3530F"/>
    <w:rsid w:val="00E4044E"/>
    <w:rsid w:val="00E73FFE"/>
    <w:rsid w:val="00F1283D"/>
    <w:rsid w:val="00FA5AE3"/>
  </w:rsids>
  <m:mathPr>
    <m:mathFont m:val="Cambria Math"/>
    <m:brkBin m:val="before"/>
    <m:brkBinSub m:val="--"/>
    <m:smallFrac m:val="0"/>
    <m:dispDef/>
    <m:lMargin m:val="0"/>
    <m:rMargin m:val="0"/>
    <m:defJc m:val="centerGroup"/>
    <m:wrapIndent m:val="1440"/>
    <m:intLim m:val="subSup"/>
    <m:naryLim m:val="undOvr"/>
  </m:mathPr>
  <w:themeFontLang w:val="pl-PL"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B49ED2A"/>
  <w15:chartTrackingRefBased/>
  <w15:docId w15:val="{2B7CDEB4-287E-4853-BA9A-18051EA100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pl-PL"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92452F"/>
    <w:pPr>
      <w:spacing w:after="120" w:line="240" w:lineRule="auto"/>
    </w:pPr>
    <w:rPr>
      <w:rFonts w:ascii="Arial" w:eastAsiaTheme="minorEastAsia" w:hAnsi="Arial"/>
      <w:color w:val="595959" w:themeColor="text1" w:themeTint="A6"/>
      <w:kern w:val="0"/>
      <w:sz w:val="18"/>
      <w:lang w:val="en-US" w:eastAsia="pl-PL"/>
      <w14:ligatures w14:val="none"/>
    </w:rPr>
  </w:style>
  <w:style w:type="paragraph" w:styleId="Nagwek1">
    <w:name w:val="heading 1"/>
    <w:basedOn w:val="Normalny"/>
    <w:next w:val="Normalny"/>
    <w:link w:val="Nagwek1Znak"/>
    <w:uiPriority w:val="9"/>
    <w:qFormat/>
    <w:rsid w:val="0092452F"/>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Nagwek2">
    <w:name w:val="heading 2"/>
    <w:basedOn w:val="Normalny"/>
    <w:next w:val="Normalny"/>
    <w:link w:val="Nagwek2Znak"/>
    <w:uiPriority w:val="9"/>
    <w:semiHidden/>
    <w:unhideWhenUsed/>
    <w:qFormat/>
    <w:rsid w:val="0092452F"/>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Nagwek3">
    <w:name w:val="heading 3"/>
    <w:basedOn w:val="Normalny"/>
    <w:next w:val="Normalny"/>
    <w:link w:val="Nagwek3Znak"/>
    <w:uiPriority w:val="9"/>
    <w:semiHidden/>
    <w:unhideWhenUsed/>
    <w:qFormat/>
    <w:rsid w:val="0092452F"/>
    <w:pPr>
      <w:keepNext/>
      <w:keepLines/>
      <w:spacing w:before="160" w:after="80"/>
      <w:outlineLvl w:val="2"/>
    </w:pPr>
    <w:rPr>
      <w:rFonts w:eastAsiaTheme="majorEastAsia" w:cstheme="majorBidi"/>
      <w:color w:val="0F4761" w:themeColor="accent1" w:themeShade="BF"/>
      <w:sz w:val="28"/>
      <w:szCs w:val="28"/>
    </w:rPr>
  </w:style>
  <w:style w:type="paragraph" w:styleId="Nagwek4">
    <w:name w:val="heading 4"/>
    <w:basedOn w:val="Normalny"/>
    <w:next w:val="Normalny"/>
    <w:link w:val="Nagwek4Znak"/>
    <w:uiPriority w:val="9"/>
    <w:semiHidden/>
    <w:unhideWhenUsed/>
    <w:qFormat/>
    <w:rsid w:val="0092452F"/>
    <w:pPr>
      <w:keepNext/>
      <w:keepLines/>
      <w:spacing w:before="80" w:after="40"/>
      <w:outlineLvl w:val="3"/>
    </w:pPr>
    <w:rPr>
      <w:rFonts w:eastAsiaTheme="majorEastAsia" w:cstheme="majorBidi"/>
      <w:i/>
      <w:iCs/>
      <w:color w:val="0F4761" w:themeColor="accent1" w:themeShade="BF"/>
    </w:rPr>
  </w:style>
  <w:style w:type="paragraph" w:styleId="Nagwek5">
    <w:name w:val="heading 5"/>
    <w:basedOn w:val="Normalny"/>
    <w:next w:val="Normalny"/>
    <w:link w:val="Nagwek5Znak"/>
    <w:uiPriority w:val="9"/>
    <w:semiHidden/>
    <w:unhideWhenUsed/>
    <w:qFormat/>
    <w:rsid w:val="0092452F"/>
    <w:pPr>
      <w:keepNext/>
      <w:keepLines/>
      <w:spacing w:before="80" w:after="40"/>
      <w:outlineLvl w:val="4"/>
    </w:pPr>
    <w:rPr>
      <w:rFonts w:eastAsiaTheme="majorEastAsia" w:cstheme="majorBidi"/>
      <w:color w:val="0F4761" w:themeColor="accent1" w:themeShade="BF"/>
    </w:rPr>
  </w:style>
  <w:style w:type="paragraph" w:styleId="Nagwek6">
    <w:name w:val="heading 6"/>
    <w:basedOn w:val="Normalny"/>
    <w:next w:val="Normalny"/>
    <w:link w:val="Nagwek6Znak"/>
    <w:uiPriority w:val="9"/>
    <w:semiHidden/>
    <w:unhideWhenUsed/>
    <w:qFormat/>
    <w:rsid w:val="0092452F"/>
    <w:pPr>
      <w:keepNext/>
      <w:keepLines/>
      <w:spacing w:before="40" w:after="0"/>
      <w:outlineLvl w:val="5"/>
    </w:pPr>
    <w:rPr>
      <w:rFonts w:eastAsiaTheme="majorEastAsia" w:cstheme="majorBidi"/>
      <w:i/>
      <w:iCs/>
    </w:rPr>
  </w:style>
  <w:style w:type="paragraph" w:styleId="Nagwek7">
    <w:name w:val="heading 7"/>
    <w:basedOn w:val="Normalny"/>
    <w:next w:val="Normalny"/>
    <w:link w:val="Nagwek7Znak"/>
    <w:uiPriority w:val="9"/>
    <w:semiHidden/>
    <w:unhideWhenUsed/>
    <w:qFormat/>
    <w:rsid w:val="0092452F"/>
    <w:pPr>
      <w:keepNext/>
      <w:keepLines/>
      <w:spacing w:before="40" w:after="0"/>
      <w:outlineLvl w:val="6"/>
    </w:pPr>
    <w:rPr>
      <w:rFonts w:eastAsiaTheme="majorEastAsia" w:cstheme="majorBidi"/>
    </w:rPr>
  </w:style>
  <w:style w:type="paragraph" w:styleId="Nagwek8">
    <w:name w:val="heading 8"/>
    <w:basedOn w:val="Normalny"/>
    <w:next w:val="Normalny"/>
    <w:link w:val="Nagwek8Znak"/>
    <w:uiPriority w:val="9"/>
    <w:semiHidden/>
    <w:unhideWhenUsed/>
    <w:qFormat/>
    <w:rsid w:val="0092452F"/>
    <w:pPr>
      <w:keepNext/>
      <w:keepLines/>
      <w:spacing w:after="0"/>
      <w:outlineLvl w:val="7"/>
    </w:pPr>
    <w:rPr>
      <w:rFonts w:eastAsiaTheme="majorEastAsia" w:cstheme="majorBidi"/>
      <w:i/>
      <w:iCs/>
      <w:color w:val="272727" w:themeColor="text1" w:themeTint="D8"/>
    </w:rPr>
  </w:style>
  <w:style w:type="paragraph" w:styleId="Nagwek9">
    <w:name w:val="heading 9"/>
    <w:basedOn w:val="Normalny"/>
    <w:next w:val="Normalny"/>
    <w:link w:val="Nagwek9Znak"/>
    <w:uiPriority w:val="9"/>
    <w:semiHidden/>
    <w:unhideWhenUsed/>
    <w:qFormat/>
    <w:rsid w:val="0092452F"/>
    <w:pPr>
      <w:keepNext/>
      <w:keepLines/>
      <w:spacing w:after="0"/>
      <w:outlineLvl w:val="8"/>
    </w:pPr>
    <w:rPr>
      <w:rFonts w:eastAsiaTheme="majorEastAsia" w:cstheme="majorBidi"/>
      <w:color w:val="272727" w:themeColor="text1" w:themeTint="D8"/>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uiPriority w:val="9"/>
    <w:rsid w:val="0092452F"/>
    <w:rPr>
      <w:rFonts w:asciiTheme="majorHAnsi" w:eastAsiaTheme="majorEastAsia" w:hAnsiTheme="majorHAnsi" w:cstheme="majorBidi"/>
      <w:color w:val="0F4761" w:themeColor="accent1" w:themeShade="BF"/>
      <w:sz w:val="40"/>
      <w:szCs w:val="40"/>
    </w:rPr>
  </w:style>
  <w:style w:type="character" w:customStyle="1" w:styleId="Nagwek2Znak">
    <w:name w:val="Nagłówek 2 Znak"/>
    <w:basedOn w:val="Domylnaczcionkaakapitu"/>
    <w:link w:val="Nagwek2"/>
    <w:uiPriority w:val="9"/>
    <w:semiHidden/>
    <w:rsid w:val="0092452F"/>
    <w:rPr>
      <w:rFonts w:asciiTheme="majorHAnsi" w:eastAsiaTheme="majorEastAsia" w:hAnsiTheme="majorHAnsi" w:cstheme="majorBidi"/>
      <w:color w:val="0F4761" w:themeColor="accent1" w:themeShade="BF"/>
      <w:sz w:val="32"/>
      <w:szCs w:val="32"/>
    </w:rPr>
  </w:style>
  <w:style w:type="character" w:customStyle="1" w:styleId="Nagwek3Znak">
    <w:name w:val="Nagłówek 3 Znak"/>
    <w:basedOn w:val="Domylnaczcionkaakapitu"/>
    <w:link w:val="Nagwek3"/>
    <w:uiPriority w:val="9"/>
    <w:semiHidden/>
    <w:rsid w:val="0092452F"/>
    <w:rPr>
      <w:rFonts w:eastAsiaTheme="majorEastAsia" w:cstheme="majorBidi"/>
      <w:color w:val="0F4761" w:themeColor="accent1" w:themeShade="BF"/>
      <w:sz w:val="28"/>
      <w:szCs w:val="28"/>
    </w:rPr>
  </w:style>
  <w:style w:type="character" w:customStyle="1" w:styleId="Nagwek4Znak">
    <w:name w:val="Nagłówek 4 Znak"/>
    <w:basedOn w:val="Domylnaczcionkaakapitu"/>
    <w:link w:val="Nagwek4"/>
    <w:uiPriority w:val="9"/>
    <w:semiHidden/>
    <w:rsid w:val="0092452F"/>
    <w:rPr>
      <w:rFonts w:eastAsiaTheme="majorEastAsia" w:cstheme="majorBidi"/>
      <w:i/>
      <w:iCs/>
      <w:color w:val="0F4761" w:themeColor="accent1" w:themeShade="BF"/>
    </w:rPr>
  </w:style>
  <w:style w:type="character" w:customStyle="1" w:styleId="Nagwek5Znak">
    <w:name w:val="Nagłówek 5 Znak"/>
    <w:basedOn w:val="Domylnaczcionkaakapitu"/>
    <w:link w:val="Nagwek5"/>
    <w:uiPriority w:val="9"/>
    <w:semiHidden/>
    <w:rsid w:val="0092452F"/>
    <w:rPr>
      <w:rFonts w:eastAsiaTheme="majorEastAsia" w:cstheme="majorBidi"/>
      <w:color w:val="0F4761" w:themeColor="accent1" w:themeShade="BF"/>
    </w:rPr>
  </w:style>
  <w:style w:type="character" w:customStyle="1" w:styleId="Nagwek6Znak">
    <w:name w:val="Nagłówek 6 Znak"/>
    <w:basedOn w:val="Domylnaczcionkaakapitu"/>
    <w:link w:val="Nagwek6"/>
    <w:uiPriority w:val="9"/>
    <w:semiHidden/>
    <w:rsid w:val="0092452F"/>
    <w:rPr>
      <w:rFonts w:eastAsiaTheme="majorEastAsia" w:cstheme="majorBidi"/>
      <w:i/>
      <w:iCs/>
      <w:color w:val="595959" w:themeColor="text1" w:themeTint="A6"/>
    </w:rPr>
  </w:style>
  <w:style w:type="character" w:customStyle="1" w:styleId="Nagwek7Znak">
    <w:name w:val="Nagłówek 7 Znak"/>
    <w:basedOn w:val="Domylnaczcionkaakapitu"/>
    <w:link w:val="Nagwek7"/>
    <w:uiPriority w:val="9"/>
    <w:semiHidden/>
    <w:rsid w:val="0092452F"/>
    <w:rPr>
      <w:rFonts w:eastAsiaTheme="majorEastAsia" w:cstheme="majorBidi"/>
      <w:color w:val="595959" w:themeColor="text1" w:themeTint="A6"/>
    </w:rPr>
  </w:style>
  <w:style w:type="character" w:customStyle="1" w:styleId="Nagwek8Znak">
    <w:name w:val="Nagłówek 8 Znak"/>
    <w:basedOn w:val="Domylnaczcionkaakapitu"/>
    <w:link w:val="Nagwek8"/>
    <w:uiPriority w:val="9"/>
    <w:semiHidden/>
    <w:rsid w:val="0092452F"/>
    <w:rPr>
      <w:rFonts w:eastAsiaTheme="majorEastAsia" w:cstheme="majorBidi"/>
      <w:i/>
      <w:iCs/>
      <w:color w:val="272727" w:themeColor="text1" w:themeTint="D8"/>
    </w:rPr>
  </w:style>
  <w:style w:type="character" w:customStyle="1" w:styleId="Nagwek9Znak">
    <w:name w:val="Nagłówek 9 Znak"/>
    <w:basedOn w:val="Domylnaczcionkaakapitu"/>
    <w:link w:val="Nagwek9"/>
    <w:uiPriority w:val="9"/>
    <w:semiHidden/>
    <w:rsid w:val="0092452F"/>
    <w:rPr>
      <w:rFonts w:eastAsiaTheme="majorEastAsia" w:cstheme="majorBidi"/>
      <w:color w:val="272727" w:themeColor="text1" w:themeTint="D8"/>
    </w:rPr>
  </w:style>
  <w:style w:type="paragraph" w:styleId="Tytu">
    <w:name w:val="Title"/>
    <w:basedOn w:val="Normalny"/>
    <w:next w:val="Normalny"/>
    <w:link w:val="TytuZnak"/>
    <w:uiPriority w:val="10"/>
    <w:qFormat/>
    <w:rsid w:val="0092452F"/>
    <w:pPr>
      <w:spacing w:after="80"/>
      <w:contextualSpacing/>
    </w:pPr>
    <w:rPr>
      <w:rFonts w:asciiTheme="majorHAnsi" w:eastAsiaTheme="majorEastAsia" w:hAnsiTheme="majorHAnsi" w:cstheme="majorBidi"/>
      <w:spacing w:val="-10"/>
      <w:kern w:val="28"/>
      <w:sz w:val="56"/>
      <w:szCs w:val="56"/>
    </w:rPr>
  </w:style>
  <w:style w:type="character" w:customStyle="1" w:styleId="TytuZnak">
    <w:name w:val="Tytuł Znak"/>
    <w:basedOn w:val="Domylnaczcionkaakapitu"/>
    <w:link w:val="Tytu"/>
    <w:uiPriority w:val="10"/>
    <w:rsid w:val="0092452F"/>
    <w:rPr>
      <w:rFonts w:asciiTheme="majorHAnsi" w:eastAsiaTheme="majorEastAsia" w:hAnsiTheme="majorHAnsi" w:cstheme="majorBidi"/>
      <w:spacing w:val="-10"/>
      <w:kern w:val="28"/>
      <w:sz w:val="56"/>
      <w:szCs w:val="56"/>
    </w:rPr>
  </w:style>
  <w:style w:type="paragraph" w:styleId="Podtytu">
    <w:name w:val="Subtitle"/>
    <w:basedOn w:val="Normalny"/>
    <w:next w:val="Normalny"/>
    <w:link w:val="PodtytuZnak"/>
    <w:uiPriority w:val="11"/>
    <w:qFormat/>
    <w:rsid w:val="0092452F"/>
    <w:pPr>
      <w:numPr>
        <w:ilvl w:val="1"/>
      </w:numPr>
    </w:pPr>
    <w:rPr>
      <w:rFonts w:eastAsiaTheme="majorEastAsia" w:cstheme="majorBidi"/>
      <w:spacing w:val="15"/>
      <w:sz w:val="28"/>
      <w:szCs w:val="28"/>
    </w:rPr>
  </w:style>
  <w:style w:type="character" w:customStyle="1" w:styleId="PodtytuZnak">
    <w:name w:val="Podtytuł Znak"/>
    <w:basedOn w:val="Domylnaczcionkaakapitu"/>
    <w:link w:val="Podtytu"/>
    <w:uiPriority w:val="11"/>
    <w:rsid w:val="0092452F"/>
    <w:rPr>
      <w:rFonts w:eastAsiaTheme="majorEastAsia" w:cstheme="majorBidi"/>
      <w:color w:val="595959" w:themeColor="text1" w:themeTint="A6"/>
      <w:spacing w:val="15"/>
      <w:sz w:val="28"/>
      <w:szCs w:val="28"/>
    </w:rPr>
  </w:style>
  <w:style w:type="paragraph" w:styleId="Cytat">
    <w:name w:val="Quote"/>
    <w:basedOn w:val="Normalny"/>
    <w:next w:val="Normalny"/>
    <w:link w:val="CytatZnak"/>
    <w:uiPriority w:val="29"/>
    <w:qFormat/>
    <w:rsid w:val="0092452F"/>
    <w:pPr>
      <w:spacing w:before="160"/>
      <w:jc w:val="center"/>
    </w:pPr>
    <w:rPr>
      <w:i/>
      <w:iCs/>
      <w:color w:val="404040" w:themeColor="text1" w:themeTint="BF"/>
    </w:rPr>
  </w:style>
  <w:style w:type="character" w:customStyle="1" w:styleId="CytatZnak">
    <w:name w:val="Cytat Znak"/>
    <w:basedOn w:val="Domylnaczcionkaakapitu"/>
    <w:link w:val="Cytat"/>
    <w:uiPriority w:val="29"/>
    <w:rsid w:val="0092452F"/>
    <w:rPr>
      <w:i/>
      <w:iCs/>
      <w:color w:val="404040" w:themeColor="text1" w:themeTint="BF"/>
    </w:rPr>
  </w:style>
  <w:style w:type="paragraph" w:styleId="Akapitzlist">
    <w:name w:val="List Paragraph"/>
    <w:basedOn w:val="Normalny"/>
    <w:uiPriority w:val="34"/>
    <w:qFormat/>
    <w:rsid w:val="0092452F"/>
    <w:pPr>
      <w:ind w:left="720"/>
      <w:contextualSpacing/>
    </w:pPr>
  </w:style>
  <w:style w:type="character" w:styleId="Wyrnienieintensywne">
    <w:name w:val="Intense Emphasis"/>
    <w:basedOn w:val="Domylnaczcionkaakapitu"/>
    <w:uiPriority w:val="21"/>
    <w:qFormat/>
    <w:rsid w:val="0092452F"/>
    <w:rPr>
      <w:i/>
      <w:iCs/>
      <w:color w:val="0F4761" w:themeColor="accent1" w:themeShade="BF"/>
    </w:rPr>
  </w:style>
  <w:style w:type="paragraph" w:styleId="Cytatintensywny">
    <w:name w:val="Intense Quote"/>
    <w:basedOn w:val="Normalny"/>
    <w:next w:val="Normalny"/>
    <w:link w:val="CytatintensywnyZnak"/>
    <w:uiPriority w:val="30"/>
    <w:qFormat/>
    <w:rsid w:val="0092452F"/>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ytatintensywnyZnak">
    <w:name w:val="Cytat intensywny Znak"/>
    <w:basedOn w:val="Domylnaczcionkaakapitu"/>
    <w:link w:val="Cytatintensywny"/>
    <w:uiPriority w:val="30"/>
    <w:rsid w:val="0092452F"/>
    <w:rPr>
      <w:i/>
      <w:iCs/>
      <w:color w:val="0F4761" w:themeColor="accent1" w:themeShade="BF"/>
    </w:rPr>
  </w:style>
  <w:style w:type="character" w:styleId="Odwoanieintensywne">
    <w:name w:val="Intense Reference"/>
    <w:basedOn w:val="Domylnaczcionkaakapitu"/>
    <w:uiPriority w:val="32"/>
    <w:qFormat/>
    <w:rsid w:val="0092452F"/>
    <w:rPr>
      <w:b/>
      <w:bCs/>
      <w:smallCaps/>
      <w:color w:val="0F4761" w:themeColor="accent1" w:themeShade="BF"/>
      <w:spacing w:val="5"/>
    </w:rPr>
  </w:style>
  <w:style w:type="paragraph" w:styleId="Nagwek">
    <w:name w:val="header"/>
    <w:basedOn w:val="Normalny"/>
    <w:link w:val="NagwekZnak"/>
    <w:uiPriority w:val="99"/>
    <w:unhideWhenUsed/>
    <w:rsid w:val="0092452F"/>
    <w:pPr>
      <w:tabs>
        <w:tab w:val="center" w:pos="4536"/>
        <w:tab w:val="right" w:pos="9072"/>
      </w:tabs>
    </w:pPr>
  </w:style>
  <w:style w:type="character" w:customStyle="1" w:styleId="NagwekZnak">
    <w:name w:val="Nagłówek Znak"/>
    <w:basedOn w:val="Domylnaczcionkaakapitu"/>
    <w:link w:val="Nagwek"/>
    <w:uiPriority w:val="99"/>
    <w:rsid w:val="0092452F"/>
    <w:rPr>
      <w:rFonts w:ascii="Arial" w:eastAsiaTheme="minorEastAsia" w:hAnsi="Arial"/>
      <w:color w:val="595959" w:themeColor="text1" w:themeTint="A6"/>
      <w:kern w:val="0"/>
      <w:sz w:val="18"/>
      <w:lang w:val="en-US" w:eastAsia="pl-PL"/>
      <w14:ligatures w14:val="none"/>
    </w:rPr>
  </w:style>
  <w:style w:type="paragraph" w:styleId="Stopka">
    <w:name w:val="footer"/>
    <w:basedOn w:val="Normalny"/>
    <w:link w:val="StopkaZnak"/>
    <w:uiPriority w:val="99"/>
    <w:unhideWhenUsed/>
    <w:rsid w:val="0092452F"/>
    <w:pPr>
      <w:tabs>
        <w:tab w:val="center" w:pos="4536"/>
        <w:tab w:val="right" w:pos="9072"/>
      </w:tabs>
    </w:pPr>
  </w:style>
  <w:style w:type="character" w:customStyle="1" w:styleId="StopkaZnak">
    <w:name w:val="Stopka Znak"/>
    <w:basedOn w:val="Domylnaczcionkaakapitu"/>
    <w:link w:val="Stopka"/>
    <w:uiPriority w:val="99"/>
    <w:rsid w:val="0092452F"/>
    <w:rPr>
      <w:rFonts w:ascii="Arial" w:eastAsiaTheme="minorEastAsia" w:hAnsi="Arial"/>
      <w:color w:val="595959" w:themeColor="text1" w:themeTint="A6"/>
      <w:kern w:val="0"/>
      <w:sz w:val="18"/>
      <w:lang w:val="en-US" w:eastAsia="pl-PL"/>
      <w14:ligatures w14:val="none"/>
    </w:rPr>
  </w:style>
  <w:style w:type="character" w:styleId="Hipercze">
    <w:name w:val="Hyperlink"/>
    <w:basedOn w:val="Domylnaczcionkaakapitu"/>
    <w:uiPriority w:val="99"/>
    <w:unhideWhenUsed/>
    <w:rsid w:val="0092452F"/>
    <w:rPr>
      <w:color w:val="467886"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ettings" Target="settings.xml"/><Relationship Id="rId7" Type="http://schemas.openxmlformats.org/officeDocument/2006/relationships/hyperlink" Target="mailto:licencje@gpwbenchmark.pl" TargetMode="External"/><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fontTable" Target="fontTable.xml"/></Relationships>
</file>

<file path=word/_rels/footer2.xml.rels><?xml version="1.0" encoding="UTF-8" standalone="yes"?>
<Relationships xmlns="http://schemas.openxmlformats.org/package/2006/relationships"><Relationship Id="rId1" Type="http://schemas.openxmlformats.org/officeDocument/2006/relationships/image" Target="media/image1.emf"/></Relationships>
</file>

<file path=word/_rels/footer3.xml.rels><?xml version="1.0" encoding="UTF-8" standalone="yes"?>
<Relationships xmlns="http://schemas.openxmlformats.org/package/2006/relationships"><Relationship Id="rId1" Type="http://schemas.openxmlformats.org/officeDocument/2006/relationships/image" Target="media/image1.emf"/></Relationships>
</file>

<file path=word/_rels/header3.xml.rels><?xml version="1.0" encoding="UTF-8" standalone="yes"?>
<Relationships xmlns="http://schemas.openxmlformats.org/package/2006/relationships"><Relationship Id="rId1" Type="http://schemas.openxmlformats.org/officeDocument/2006/relationships/image" Target="media/image2.emf"/></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Pakiet 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Metadata/LabelInfo.xml><?xml version="1.0" encoding="utf-8"?>
<clbl:labelList xmlns:clbl="http://schemas.microsoft.com/office/2020/mipLabelMetadata">
  <clbl:label id="{89ffba25-bcde-48e2-8b46-50268c57e337}" enabled="1" method="Privileged" siteId="{a340375a-1ea0-4cdd-8a49-9cd1039ff159}" contentBits="0" removed="0"/>
</clbl:labelList>
</file>

<file path=docProps/app.xml><?xml version="1.0" encoding="utf-8"?>
<Properties xmlns="http://schemas.openxmlformats.org/officeDocument/2006/extended-properties" xmlns:vt="http://schemas.openxmlformats.org/officeDocument/2006/docPropsVTypes">
  <Template>Normal.dotm</Template>
  <TotalTime>45</TotalTime>
  <Pages>8</Pages>
  <Words>3318</Words>
  <Characters>19909</Characters>
  <Application>Microsoft Office Word</Application>
  <DocSecurity>8</DocSecurity>
  <Lines>165</Lines>
  <Paragraphs>46</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23181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Katarzyna Bartkowiak</dc:creator>
  <cp:keywords/>
  <dc:description/>
  <cp:lastModifiedBy>Walkowiak Piotr</cp:lastModifiedBy>
  <cp:revision>17</cp:revision>
  <dcterms:created xsi:type="dcterms:W3CDTF">2026-07-09T18:43:00Z</dcterms:created>
  <dcterms:modified xsi:type="dcterms:W3CDTF">2026-07-22T11:14:00Z</dcterms:modified>
</cp:coreProperties>
</file>