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ABF8"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Regulamin udzielania licencji </w:t>
      </w:r>
    </w:p>
    <w:p w14:paraId="18C131D9" w14:textId="43800BEC"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na stosowanie i korzystanie ze</w:t>
      </w:r>
      <w:r w:rsidR="00FA5F5F">
        <w:rPr>
          <w:rFonts w:ascii="Verdana" w:hAnsi="Verdana"/>
          <w:b/>
          <w:bCs/>
          <w:color w:val="auto"/>
          <w:szCs w:val="18"/>
          <w:lang w:val="pl-PL"/>
        </w:rPr>
        <w:t xml:space="preserve"> w</w:t>
      </w:r>
      <w:r w:rsidRPr="00A95744">
        <w:rPr>
          <w:rFonts w:ascii="Verdana" w:hAnsi="Verdana"/>
          <w:b/>
          <w:bCs/>
          <w:color w:val="auto"/>
          <w:szCs w:val="18"/>
          <w:lang w:val="pl-PL"/>
        </w:rPr>
        <w:t xml:space="preserve">skaźników </w:t>
      </w:r>
      <w:r w:rsidR="00FA5F5F">
        <w:rPr>
          <w:rFonts w:ascii="Verdana" w:hAnsi="Verdana"/>
          <w:b/>
          <w:bCs/>
          <w:color w:val="auto"/>
          <w:szCs w:val="18"/>
          <w:lang w:val="pl-PL"/>
        </w:rPr>
        <w:t>r</w:t>
      </w:r>
      <w:r w:rsidRPr="00A95744">
        <w:rPr>
          <w:rFonts w:ascii="Verdana" w:hAnsi="Verdana"/>
          <w:b/>
          <w:bCs/>
          <w:color w:val="auto"/>
          <w:szCs w:val="18"/>
          <w:lang w:val="pl-PL"/>
        </w:rPr>
        <w:t>eferencyjnych w dłużnych papierach wartościowych</w:t>
      </w:r>
    </w:p>
    <w:p w14:paraId="46A202E9" w14:textId="77777777" w:rsidR="000807BB" w:rsidRPr="00A95744" w:rsidRDefault="000807BB" w:rsidP="000807BB">
      <w:pPr>
        <w:spacing w:after="0" w:line="360" w:lineRule="auto"/>
        <w:jc w:val="center"/>
        <w:rPr>
          <w:rFonts w:ascii="Verdana" w:hAnsi="Verdana"/>
          <w:b/>
          <w:bCs/>
          <w:color w:val="auto"/>
          <w:szCs w:val="18"/>
          <w:lang w:val="pl-PL"/>
        </w:rPr>
      </w:pPr>
    </w:p>
    <w:p w14:paraId="50567D82" w14:textId="77777777" w:rsidR="000807BB" w:rsidRPr="00A95744" w:rsidRDefault="000807BB" w:rsidP="000807BB">
      <w:pPr>
        <w:spacing w:after="0" w:line="360" w:lineRule="auto"/>
        <w:rPr>
          <w:rFonts w:ascii="Verdana" w:hAnsi="Verdana"/>
          <w:b/>
          <w:bCs/>
          <w:color w:val="auto"/>
          <w:szCs w:val="18"/>
          <w:lang w:val="pl-PL"/>
        </w:rPr>
      </w:pPr>
    </w:p>
    <w:p w14:paraId="2119CE67"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1</w:t>
      </w:r>
    </w:p>
    <w:p w14:paraId="761007A7"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Zakres stosowania </w:t>
      </w:r>
    </w:p>
    <w:p w14:paraId="60028162" w14:textId="77777777" w:rsidR="000807BB" w:rsidRPr="00A95744" w:rsidRDefault="000807BB" w:rsidP="000807BB">
      <w:pPr>
        <w:pStyle w:val="Akapitzlist"/>
        <w:numPr>
          <w:ilvl w:val="0"/>
          <w:numId w:val="1"/>
        </w:numPr>
        <w:spacing w:after="0" w:line="360" w:lineRule="auto"/>
        <w:jc w:val="both"/>
        <w:rPr>
          <w:rFonts w:ascii="Verdana" w:hAnsi="Verdana"/>
          <w:color w:val="auto"/>
          <w:szCs w:val="18"/>
          <w:lang w:val="pl-PL"/>
        </w:rPr>
      </w:pPr>
      <w:r w:rsidRPr="00A95744">
        <w:rPr>
          <w:rFonts w:ascii="Verdana" w:hAnsi="Verdana"/>
          <w:color w:val="auto"/>
          <w:szCs w:val="18"/>
          <w:lang w:val="pl-PL"/>
        </w:rPr>
        <w:t>Regulamin udzielania licencji na stosowanie i korzystanie ze Wskaźników Referencyjnych w dłużnych papierach wartościowych określa:</w:t>
      </w:r>
    </w:p>
    <w:p w14:paraId="5B2A8635" w14:textId="77777777" w:rsidR="000807BB" w:rsidRPr="00A95744" w:rsidRDefault="000807BB" w:rsidP="000807BB">
      <w:pPr>
        <w:pStyle w:val="Akapitzlist"/>
        <w:numPr>
          <w:ilvl w:val="0"/>
          <w:numId w:val="2"/>
        </w:numPr>
        <w:spacing w:after="0" w:line="360" w:lineRule="auto"/>
        <w:jc w:val="both"/>
        <w:rPr>
          <w:rFonts w:ascii="Verdana" w:hAnsi="Verdana"/>
          <w:color w:val="auto"/>
          <w:szCs w:val="18"/>
          <w:lang w:val="pl-PL"/>
        </w:rPr>
      </w:pPr>
      <w:r w:rsidRPr="00A95744">
        <w:rPr>
          <w:rFonts w:ascii="Verdana" w:hAnsi="Verdana"/>
          <w:color w:val="auto"/>
          <w:szCs w:val="18"/>
          <w:lang w:val="pl-PL"/>
        </w:rPr>
        <w:t>zasady na jakich Administrator udziela licencji na stosowanie i korzystanie ze Wskaźników Referencyjnych stopy procentowej w dłużnych papierach wartościowych w celu określenia kwoty należności przypadającej z tytułu odsetek wyznaczanych w oparciu o wybrany Wskaźnik Referencyjny;</w:t>
      </w:r>
    </w:p>
    <w:p w14:paraId="096B97E4" w14:textId="77777777" w:rsidR="000807BB" w:rsidRPr="00A95744" w:rsidRDefault="000807BB" w:rsidP="000807BB">
      <w:pPr>
        <w:pStyle w:val="Akapitzlist"/>
        <w:numPr>
          <w:ilvl w:val="0"/>
          <w:numId w:val="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prawa i obowiązki Licencjobiorcy i Administratora wynikające z udzielenia licencji na stosowanie i korzystanie ze Wskaźników Referencyjnych stopy procentowej opracowywanych przez Administratora. </w:t>
      </w:r>
    </w:p>
    <w:p w14:paraId="7FAECA3C" w14:textId="03971DE8" w:rsidR="000807BB" w:rsidRPr="00A95744" w:rsidRDefault="000807BB" w:rsidP="000807BB">
      <w:pPr>
        <w:pStyle w:val="Akapitzlist"/>
        <w:numPr>
          <w:ilvl w:val="0"/>
          <w:numId w:val="1"/>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Licencja na stosowanie i korzystanie ze Wskaźników Referencyjnych opracowywanych przez Administratora w obszarze wykraczającym poza zakres ust. 1 lit. a) udzielana jest na zasadach ogólnych określonych w Umowie o Stosowanie, której wzorzec dostępny jest na stronie internetowej Administratora. </w:t>
      </w:r>
    </w:p>
    <w:p w14:paraId="6F9159C7" w14:textId="77777777" w:rsidR="000807BB" w:rsidRPr="00A95744" w:rsidRDefault="000807BB" w:rsidP="000807BB">
      <w:pPr>
        <w:pStyle w:val="Akapitzlist"/>
        <w:numPr>
          <w:ilvl w:val="0"/>
          <w:numId w:val="1"/>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Regulaminu nie stosuje się do podmiotów które pozyskały licencję na stosowanie i korzystanie ze Wskaźników Referencyjnych na zasadach ogólnych, na podstawie Umowy o Stosowanie, o której mowa w ust. 2. </w:t>
      </w:r>
    </w:p>
    <w:p w14:paraId="362E1C68" w14:textId="77777777" w:rsidR="000807BB" w:rsidRPr="00A95744" w:rsidRDefault="000807BB" w:rsidP="000807BB">
      <w:pPr>
        <w:pStyle w:val="Akapitzlist"/>
        <w:numPr>
          <w:ilvl w:val="0"/>
          <w:numId w:val="1"/>
        </w:numPr>
        <w:spacing w:after="0" w:line="360" w:lineRule="auto"/>
        <w:jc w:val="both"/>
        <w:rPr>
          <w:rFonts w:ascii="Verdana" w:hAnsi="Verdana"/>
          <w:color w:val="auto"/>
          <w:szCs w:val="18"/>
          <w:lang w:val="pl-PL"/>
        </w:rPr>
      </w:pPr>
      <w:r w:rsidRPr="00A95744">
        <w:rPr>
          <w:rFonts w:ascii="Verdana" w:hAnsi="Verdana"/>
          <w:color w:val="auto"/>
          <w:szCs w:val="18"/>
          <w:lang w:val="pl-PL"/>
        </w:rPr>
        <w:t>Dostęp i korzystanie z danych rynkowych dotyczących Wskaźników Referencyjnych, jeżeli Regulamin wybranego Wskaźnika Referencyjnego nie stanowi inaczej, wymaga zawarcia umowy licencyjnej z Giełdą Papierów Wartościowych w Warszawie S.A. lub dystrybutorem danych, a udostępnianie tych danych rynkowych wymaga zawarcia umowy licencyjnej z Giełdą Papierów Wartościowych w Warszawie S.A.</w:t>
      </w:r>
    </w:p>
    <w:p w14:paraId="22049807" w14:textId="77777777" w:rsidR="000807BB" w:rsidRPr="00A95744" w:rsidRDefault="000807BB" w:rsidP="000807BB">
      <w:pPr>
        <w:pStyle w:val="Akapitzlist"/>
        <w:spacing w:after="0" w:line="360" w:lineRule="auto"/>
        <w:jc w:val="both"/>
        <w:rPr>
          <w:rFonts w:ascii="Verdana" w:hAnsi="Verdana"/>
          <w:color w:val="auto"/>
          <w:szCs w:val="18"/>
          <w:lang w:val="pl-PL"/>
        </w:rPr>
      </w:pPr>
    </w:p>
    <w:p w14:paraId="2548FAA5" w14:textId="77777777" w:rsidR="000807BB" w:rsidRPr="00A95744" w:rsidRDefault="000807BB" w:rsidP="000807BB">
      <w:pPr>
        <w:pStyle w:val="Akapitzlist"/>
        <w:spacing w:after="0" w:line="360" w:lineRule="auto"/>
        <w:jc w:val="both"/>
        <w:rPr>
          <w:rFonts w:ascii="Verdana" w:hAnsi="Verdana"/>
          <w:color w:val="auto"/>
          <w:szCs w:val="18"/>
          <w:lang w:val="pl-PL"/>
        </w:rPr>
      </w:pPr>
    </w:p>
    <w:p w14:paraId="7BC444F5"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2</w:t>
      </w:r>
    </w:p>
    <w:p w14:paraId="339673F9"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Definicje</w:t>
      </w:r>
    </w:p>
    <w:p w14:paraId="2DEBF2CC" w14:textId="77777777" w:rsidR="000807BB" w:rsidRPr="00A95744" w:rsidRDefault="000807BB" w:rsidP="000807BB">
      <w:pPr>
        <w:pStyle w:val="Akapitzlist"/>
        <w:numPr>
          <w:ilvl w:val="0"/>
          <w:numId w:val="3"/>
        </w:numPr>
        <w:spacing w:after="0" w:line="360" w:lineRule="auto"/>
        <w:rPr>
          <w:rFonts w:ascii="Verdana" w:hAnsi="Verdana"/>
          <w:color w:val="auto"/>
          <w:szCs w:val="18"/>
          <w:lang w:val="pl-PL"/>
        </w:rPr>
      </w:pPr>
      <w:r w:rsidRPr="00A95744">
        <w:rPr>
          <w:rFonts w:ascii="Verdana" w:hAnsi="Verdana"/>
          <w:color w:val="auto"/>
          <w:szCs w:val="18"/>
          <w:lang w:val="pl-PL"/>
        </w:rPr>
        <w:t>Przez użyte w Regulaminie pojęcia należy rozumieć:</w:t>
      </w:r>
    </w:p>
    <w:p w14:paraId="4FCE3FB2" w14:textId="5762F511" w:rsidR="000807BB" w:rsidRPr="00A95744" w:rsidRDefault="000807BB" w:rsidP="000807BB">
      <w:pPr>
        <w:pStyle w:val="Akapitzlist"/>
        <w:numPr>
          <w:ilvl w:val="0"/>
          <w:numId w:val="4"/>
        </w:numPr>
        <w:spacing w:after="0" w:line="360" w:lineRule="auto"/>
        <w:rPr>
          <w:rFonts w:ascii="Verdana" w:hAnsi="Verdana"/>
          <w:color w:val="auto"/>
          <w:szCs w:val="18"/>
          <w:lang w:val="en-US"/>
        </w:rPr>
      </w:pPr>
      <w:r w:rsidRPr="00A95744">
        <w:rPr>
          <w:rFonts w:ascii="Verdana" w:hAnsi="Verdana"/>
          <w:color w:val="auto"/>
          <w:szCs w:val="18"/>
          <w:lang w:val="en-US"/>
        </w:rPr>
        <w:t xml:space="preserve">Administrator </w:t>
      </w:r>
      <w:r w:rsidR="004D0A8D" w:rsidRPr="00A95744">
        <w:rPr>
          <w:rFonts w:ascii="Verdana" w:hAnsi="Verdana"/>
          <w:color w:val="auto"/>
          <w:szCs w:val="18"/>
          <w:lang w:val="en-US"/>
        </w:rPr>
        <w:t>–</w:t>
      </w:r>
      <w:r w:rsidRPr="00A95744">
        <w:rPr>
          <w:rFonts w:ascii="Verdana" w:hAnsi="Verdana"/>
          <w:color w:val="auto"/>
          <w:szCs w:val="18"/>
          <w:lang w:val="en-US"/>
        </w:rPr>
        <w:t xml:space="preserve"> GPW Benchmark S.A. </w:t>
      </w:r>
    </w:p>
    <w:p w14:paraId="366E635C"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Dokumentacja – Regulaminy i kodeksy lub inne dokumenty dotyczące Wskaźników Referencyjnych oraz udzielanych na nie Licencji lub świadczonych Usług, publikowane w aktualnym brzmieniu na stronie internetowej Administratora: gpwbenchmark.pl i zmieniane od czasu do czasu przez Administratora;</w:t>
      </w:r>
    </w:p>
    <w:p w14:paraId="43E69624" w14:textId="3C82717E" w:rsidR="000807BB" w:rsidRPr="00A95744" w:rsidRDefault="000807BB" w:rsidP="000807BB">
      <w:pPr>
        <w:pStyle w:val="Akapitzlist"/>
        <w:numPr>
          <w:ilvl w:val="0"/>
          <w:numId w:val="4"/>
        </w:numPr>
        <w:spacing w:after="0" w:line="360" w:lineRule="auto"/>
        <w:rPr>
          <w:rFonts w:ascii="Verdana" w:hAnsi="Verdana"/>
          <w:color w:val="auto"/>
          <w:szCs w:val="18"/>
          <w:lang w:val="pl-PL"/>
        </w:rPr>
      </w:pPr>
      <w:r w:rsidRPr="00A95744">
        <w:rPr>
          <w:rFonts w:ascii="Verdana" w:hAnsi="Verdana"/>
          <w:color w:val="auto"/>
          <w:szCs w:val="18"/>
          <w:lang w:val="pl-PL"/>
        </w:rPr>
        <w:t xml:space="preserve">Emitent </w:t>
      </w:r>
      <w:r w:rsidR="00546112" w:rsidRPr="00A95744">
        <w:rPr>
          <w:rFonts w:ascii="Verdana" w:hAnsi="Verdana"/>
          <w:color w:val="auto"/>
          <w:szCs w:val="18"/>
          <w:lang w:val="pl-PL"/>
        </w:rPr>
        <w:t>–</w:t>
      </w:r>
      <w:r w:rsidRPr="00A95744">
        <w:rPr>
          <w:rFonts w:ascii="Verdana" w:hAnsi="Verdana"/>
          <w:color w:val="auto"/>
          <w:szCs w:val="18"/>
          <w:lang w:val="pl-PL"/>
        </w:rPr>
        <w:t xml:space="preserve"> podmiot wymieniony w art. 2 ustawy o obligacjach;</w:t>
      </w:r>
    </w:p>
    <w:p w14:paraId="001AB521" w14:textId="38981EFC"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 xml:space="preserve">Agent emisji </w:t>
      </w:r>
      <w:r w:rsidR="00546112" w:rsidRPr="00A95744">
        <w:rPr>
          <w:rFonts w:ascii="Verdana" w:hAnsi="Verdana"/>
          <w:color w:val="auto"/>
          <w:szCs w:val="18"/>
          <w:lang w:val="pl-PL"/>
        </w:rPr>
        <w:t>–</w:t>
      </w:r>
      <w:r w:rsidRPr="00A95744">
        <w:rPr>
          <w:rFonts w:ascii="Verdana" w:hAnsi="Verdana"/>
          <w:color w:val="auto"/>
          <w:szCs w:val="18"/>
          <w:lang w:val="pl-PL"/>
        </w:rPr>
        <w:t xml:space="preserve"> podmiot o którym mowa w art. 7a ustawy o obrocie bądź pełniący analogiczną funkcję na podstawie przepisów prawa obcego;</w:t>
      </w:r>
    </w:p>
    <w:p w14:paraId="1BA3627F" w14:textId="1F372094" w:rsidR="000807BB" w:rsidRPr="00A95744" w:rsidRDefault="000807BB" w:rsidP="000807BB">
      <w:pPr>
        <w:pStyle w:val="Akapitzlist"/>
        <w:numPr>
          <w:ilvl w:val="0"/>
          <w:numId w:val="4"/>
        </w:numPr>
        <w:spacing w:after="0" w:line="360" w:lineRule="auto"/>
        <w:rPr>
          <w:rFonts w:ascii="Verdana" w:hAnsi="Verdana"/>
          <w:color w:val="auto"/>
          <w:szCs w:val="18"/>
          <w:lang w:val="pl-PL"/>
        </w:rPr>
      </w:pPr>
      <w:r w:rsidRPr="00A95744">
        <w:rPr>
          <w:rFonts w:ascii="Verdana" w:hAnsi="Verdana"/>
          <w:color w:val="auto"/>
          <w:szCs w:val="18"/>
          <w:lang w:val="pl-PL"/>
        </w:rPr>
        <w:t>Licencjobiorca</w:t>
      </w:r>
      <w:r w:rsidR="00546112" w:rsidRPr="00A95744">
        <w:rPr>
          <w:rFonts w:ascii="Verdana" w:hAnsi="Verdana"/>
          <w:color w:val="auto"/>
          <w:szCs w:val="18"/>
          <w:lang w:val="pl-PL"/>
        </w:rPr>
        <w:t xml:space="preserve"> –</w:t>
      </w:r>
      <w:r w:rsidRPr="00A95744">
        <w:rPr>
          <w:rFonts w:ascii="Verdana" w:hAnsi="Verdana"/>
          <w:color w:val="auto"/>
          <w:szCs w:val="18"/>
          <w:lang w:val="pl-PL"/>
        </w:rPr>
        <w:t xml:space="preserve"> Emitent;</w:t>
      </w:r>
    </w:p>
    <w:p w14:paraId="66065BC2"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Lista Licencji i Usług – Załącznik do Regulaminu określający Licencje i Usługi, których może udzielić i które może świadczyć Administrator, zmieniany od czasu do czasu jednostronnie przez Administratora na warunkach określonych w Regulaminie i publikowany w aktualnym brzmieniu na stronie internetowej Administratora: gpwbenchmark.pl;</w:t>
      </w:r>
    </w:p>
    <w:p w14:paraId="1CFAFD7E" w14:textId="4A53600F"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Dłużne papiery wartościowe </w:t>
      </w:r>
      <w:r w:rsidR="00546112" w:rsidRPr="00A95744">
        <w:rPr>
          <w:rFonts w:ascii="Verdana" w:hAnsi="Verdana"/>
          <w:color w:val="auto"/>
          <w:szCs w:val="18"/>
          <w:lang w:val="pl-PL"/>
        </w:rPr>
        <w:t>–</w:t>
      </w:r>
      <w:r w:rsidRPr="00A95744">
        <w:rPr>
          <w:rFonts w:ascii="Verdana" w:hAnsi="Verdana"/>
          <w:color w:val="auto"/>
          <w:szCs w:val="18"/>
          <w:lang w:val="pl-PL"/>
        </w:rPr>
        <w:t xml:space="preserve"> instrumenty finansowe, które reprezentują zobowiązanie emitenta do zwrotu określonej kwoty kapitału wraz z odsetkami w ustalonym terminie, w szczególności obligacje (w tym obligacje kapitałowe) oraz inne zbywalne papiery wartościowe inkorporujące prawa majątkowe odpowiadające prawom wynikającym z zaciągniętego długu;</w:t>
      </w:r>
    </w:p>
    <w:p w14:paraId="63DB8058"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Opłaty – Opłaty i zobowiązania Emitenta lub działającego w jego imieniu agenta emisji/przedstawiciela z tytułu udzielonej licencji na stosowanie i korzystanie ze Wskaźników Referencyjnych w dłużnych papierach wartościowych, naliczane i dokonywane na zasadach określonych w Regulaminie;</w:t>
      </w:r>
    </w:p>
    <w:p w14:paraId="76D7AB4C"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Rozporządzenie o Wskaźnikach Referencyjnych – Rozporządzenie Parlamentu Europejskiego i Rady (UE) 2016/1011 z dnia 8 czerwca 2016 r. w sprawie indeksów stosowanych jako wskaźniki referencyjne w instrumentach finansowych i umowach finansowych lub do pomiaru wyników funduszy inwestycyjnych i zmieniające dyrektywy 2008/48/WE i 2014/17/UE oraz rozporządzenie (UE) nr 596/2014;</w:t>
      </w:r>
    </w:p>
    <w:p w14:paraId="4AD38210"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Tabela Opłat – Załącznik nr 2 do Regulaminu zawierający listę i wysokość Opłat, zmieniany od czasu do czasu jednostronnie przez Administratora na warunkach określonych w Regulaminie i publikowany w aktualnym brzmieniu na stronie internetowej Administratora: gpwbenchmark.pl;</w:t>
      </w:r>
    </w:p>
    <w:p w14:paraId="2F31789B" w14:textId="7E9E5935"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Ustawa o obligacjach </w:t>
      </w:r>
      <w:r w:rsidR="00546112" w:rsidRPr="00A95744">
        <w:rPr>
          <w:rFonts w:ascii="Verdana" w:hAnsi="Verdana"/>
          <w:color w:val="auto"/>
          <w:szCs w:val="18"/>
          <w:lang w:val="pl-PL"/>
        </w:rPr>
        <w:t>–</w:t>
      </w:r>
      <w:r w:rsidRPr="00A95744">
        <w:rPr>
          <w:rFonts w:ascii="Verdana" w:hAnsi="Verdana"/>
          <w:color w:val="auto"/>
          <w:szCs w:val="18"/>
          <w:lang w:val="pl-PL"/>
        </w:rPr>
        <w:t xml:space="preserve"> Ustawa z dnia 15 stycznia 2015 r. o obligacjach (</w:t>
      </w:r>
      <w:proofErr w:type="spellStart"/>
      <w:r w:rsidRPr="00A95744">
        <w:rPr>
          <w:rFonts w:ascii="Verdana" w:hAnsi="Verdana"/>
          <w:color w:val="auto"/>
          <w:szCs w:val="18"/>
          <w:lang w:val="pl-PL"/>
        </w:rPr>
        <w:t>t.j</w:t>
      </w:r>
      <w:proofErr w:type="spellEnd"/>
      <w:r w:rsidRPr="00A95744">
        <w:rPr>
          <w:rFonts w:ascii="Verdana" w:hAnsi="Verdana"/>
          <w:color w:val="auto"/>
          <w:szCs w:val="18"/>
          <w:lang w:val="pl-PL"/>
        </w:rPr>
        <w:t>. Dz. U. z 2024 r. poz. 708 z późn. zm.);</w:t>
      </w:r>
    </w:p>
    <w:p w14:paraId="17EC8F27" w14:textId="486BB286"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Ustawa o obrocie </w:t>
      </w:r>
      <w:r w:rsidR="00546112" w:rsidRPr="00A95744">
        <w:rPr>
          <w:rFonts w:ascii="Verdana" w:hAnsi="Verdana"/>
          <w:color w:val="auto"/>
          <w:szCs w:val="18"/>
          <w:lang w:val="pl-PL"/>
        </w:rPr>
        <w:t>–</w:t>
      </w:r>
      <w:r w:rsidRPr="00A95744">
        <w:rPr>
          <w:rFonts w:ascii="Verdana" w:hAnsi="Verdana"/>
          <w:color w:val="auto"/>
          <w:szCs w:val="18"/>
          <w:lang w:val="pl-PL"/>
        </w:rPr>
        <w:t xml:space="preserve"> Ustawa z dnia 29 lipca 2005 r. o obrocie instrumentami finansowymi (</w:t>
      </w:r>
      <w:proofErr w:type="spellStart"/>
      <w:r w:rsidRPr="00A95744">
        <w:rPr>
          <w:rFonts w:ascii="Verdana" w:hAnsi="Verdana"/>
          <w:color w:val="auto"/>
          <w:szCs w:val="18"/>
          <w:lang w:val="pl-PL"/>
        </w:rPr>
        <w:t>t.j</w:t>
      </w:r>
      <w:proofErr w:type="spellEnd"/>
      <w:r w:rsidRPr="00A95744">
        <w:rPr>
          <w:rFonts w:ascii="Verdana" w:hAnsi="Verdana"/>
          <w:color w:val="auto"/>
          <w:szCs w:val="18"/>
          <w:lang w:val="pl-PL"/>
        </w:rPr>
        <w:t>. Dz. U. z 2024 r. poz. 722 z późn. zm.);</w:t>
      </w:r>
    </w:p>
    <w:p w14:paraId="693C9186" w14:textId="301858D4"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Regulamin </w:t>
      </w:r>
      <w:r w:rsidR="00546112" w:rsidRPr="00A95744">
        <w:rPr>
          <w:rFonts w:ascii="Verdana" w:hAnsi="Verdana"/>
          <w:color w:val="auto"/>
          <w:szCs w:val="18"/>
          <w:lang w:val="pl-PL"/>
        </w:rPr>
        <w:t>–</w:t>
      </w:r>
      <w:r w:rsidRPr="00A95744">
        <w:rPr>
          <w:rFonts w:ascii="Verdana" w:hAnsi="Verdana"/>
          <w:color w:val="auto"/>
          <w:szCs w:val="18"/>
          <w:lang w:val="pl-PL"/>
        </w:rPr>
        <w:t xml:space="preserve"> Regulamin udzielania licencji na stosowanie i korzystanie ze Wskaźników Referencyjnych w dłużnych papierach wartościowych;</w:t>
      </w:r>
    </w:p>
    <w:p w14:paraId="53A7B106"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Wskaźnik Referencyjny – wskaźnik referencyjny w rozumieniu art. 3 ust. 1 pkt. 3 Rozporządzenia o Wskaźnikach Referencyjnych, opracowywany przez Administratora jako administratora na zasadach określonych w Dokumentacji Wskaźników Referencyjnych i zgodnie z powszechnie obowiązującymi przepisami prawa.</w:t>
      </w:r>
    </w:p>
    <w:p w14:paraId="633F09DF" w14:textId="77777777" w:rsidR="000807BB" w:rsidRPr="00A95744" w:rsidRDefault="000807BB" w:rsidP="000807BB">
      <w:pPr>
        <w:spacing w:after="0" w:line="360" w:lineRule="auto"/>
        <w:jc w:val="both"/>
        <w:rPr>
          <w:rFonts w:ascii="Verdana" w:hAnsi="Verdana"/>
          <w:color w:val="auto"/>
          <w:szCs w:val="18"/>
          <w:lang w:val="pl-PL"/>
        </w:rPr>
      </w:pPr>
    </w:p>
    <w:p w14:paraId="046A8FED"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3</w:t>
      </w:r>
    </w:p>
    <w:p w14:paraId="07201765"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Licencja na stosowanie i korzystanie</w:t>
      </w:r>
    </w:p>
    <w:p w14:paraId="752E3C2E"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Celem pozyskania licencji na stosowanie i korzystanie ze Wskaźników Referencyjnych w dłużnych papierach wartościowych, Licencjobiorca przekazuje wypełnione Oświadczenie, zgodnie z Załącznikiem nr 1 do Regulaminu, na adres: </w:t>
      </w:r>
      <w:hyperlink r:id="rId12" w:history="1">
        <w:r w:rsidRPr="00A95744">
          <w:rPr>
            <w:rStyle w:val="Hipercze"/>
            <w:rFonts w:ascii="Verdana" w:hAnsi="Verdana"/>
            <w:color w:val="auto"/>
            <w:szCs w:val="18"/>
            <w:lang w:val="pl-PL"/>
          </w:rPr>
          <w:t>licencje@gpwbenchmark.pl</w:t>
        </w:r>
      </w:hyperlink>
      <w:r w:rsidRPr="00A95744">
        <w:rPr>
          <w:rFonts w:ascii="Verdana" w:hAnsi="Verdana"/>
          <w:color w:val="auto"/>
          <w:szCs w:val="18"/>
          <w:lang w:val="pl-PL"/>
        </w:rPr>
        <w:t xml:space="preserve">. </w:t>
      </w:r>
    </w:p>
    <w:p w14:paraId="09C79D49"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 Przekazując Oświadczenie Licencjobiorca zobowiązuje się do:</w:t>
      </w:r>
    </w:p>
    <w:p w14:paraId="49E9B4A3" w14:textId="77777777" w:rsidR="000807BB" w:rsidRPr="00A95744" w:rsidRDefault="000807BB" w:rsidP="000807BB">
      <w:pPr>
        <w:pStyle w:val="Akapitzlist"/>
        <w:numPr>
          <w:ilvl w:val="0"/>
          <w:numId w:val="15"/>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przedstawiania Wskaźników Referencyjnych w sposób rzetelny, tam, gdzie to możliwe, jasno wskazując na Administratora jako ich administratora oraz mechanizmy dotyczące ich wyznaczania,</w:t>
      </w:r>
    </w:p>
    <w:p w14:paraId="25C3B71F" w14:textId="77777777" w:rsidR="000807BB" w:rsidRPr="00A95744" w:rsidRDefault="000807BB" w:rsidP="000807BB">
      <w:pPr>
        <w:pStyle w:val="Akapitzlist"/>
        <w:numPr>
          <w:ilvl w:val="0"/>
          <w:numId w:val="15"/>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wnoszenia Opłat z tytułu udzielonej licencji, zgodnie z rodzajem i okresem licencji wskazanym w pkt III Załącznika nr 2 do Regulaminu oraz postanowieniami Regulaminu, w wysokości ustalonej przez Administratora, a wynikającej z Załącznika nr 2 do Regulaminu. </w:t>
      </w:r>
    </w:p>
    <w:p w14:paraId="6054D4EF"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Po spełnieniu wymogu określonego w ust. 1 Licencjobiorca nabywa prawo do stosowania i korzystania ze wskazanych Wskaźników Referencyjnych na następujących warunkach:</w:t>
      </w:r>
    </w:p>
    <w:p w14:paraId="3179C944" w14:textId="54A4CEC6" w:rsidR="000807BB" w:rsidRPr="004F20A1" w:rsidRDefault="000807BB" w:rsidP="000807BB">
      <w:pPr>
        <w:pStyle w:val="Akapitzlist"/>
        <w:numPr>
          <w:ilvl w:val="0"/>
          <w:numId w:val="6"/>
        </w:numPr>
        <w:spacing w:after="0" w:line="360" w:lineRule="auto"/>
        <w:jc w:val="both"/>
        <w:rPr>
          <w:rFonts w:ascii="Verdana" w:hAnsi="Verdana"/>
          <w:color w:val="auto"/>
          <w:szCs w:val="18"/>
          <w:lang w:val="pl-PL"/>
        </w:rPr>
      </w:pPr>
      <w:r w:rsidRPr="004F20A1">
        <w:rPr>
          <w:rFonts w:ascii="Verdana" w:hAnsi="Verdana"/>
          <w:color w:val="auto"/>
          <w:szCs w:val="18"/>
          <w:lang w:val="pl-PL"/>
        </w:rPr>
        <w:t>licencja na stosowanie Wskaźnika Referencyjnego w dłużnych papierach wartościowych jest licencją niewyłączną, nieograniczoną terytorialnie, odpłatn</w:t>
      </w:r>
      <w:r w:rsidR="008E1BA5" w:rsidRPr="004F20A1">
        <w:rPr>
          <w:rFonts w:ascii="Verdana" w:hAnsi="Verdana"/>
          <w:color w:val="auto"/>
          <w:szCs w:val="18"/>
          <w:lang w:val="pl-PL"/>
        </w:rPr>
        <w:t>ą</w:t>
      </w:r>
      <w:r w:rsidR="00BB6BAD" w:rsidRPr="004F20A1">
        <w:rPr>
          <w:rFonts w:ascii="Verdana" w:hAnsi="Verdana"/>
          <w:color w:val="auto"/>
          <w:szCs w:val="18"/>
          <w:lang w:val="pl-PL"/>
        </w:rPr>
        <w:t xml:space="preserve">, a </w:t>
      </w:r>
      <w:r w:rsidR="00185F10" w:rsidRPr="004F20A1">
        <w:rPr>
          <w:rFonts w:ascii="Verdana" w:hAnsi="Verdana"/>
          <w:color w:val="auto"/>
          <w:szCs w:val="18"/>
          <w:lang w:val="pl-PL"/>
        </w:rPr>
        <w:t xml:space="preserve">w zakresie </w:t>
      </w:r>
      <w:r w:rsidR="00BB6BAD" w:rsidRPr="004F20A1">
        <w:rPr>
          <w:rFonts w:ascii="Verdana" w:hAnsi="Verdana"/>
          <w:color w:val="auto"/>
          <w:szCs w:val="18"/>
          <w:lang w:val="pl-PL"/>
        </w:rPr>
        <w:t xml:space="preserve">licencji dotyczącej </w:t>
      </w:r>
      <w:r w:rsidR="00185F10" w:rsidRPr="004F20A1">
        <w:rPr>
          <w:rFonts w:ascii="Verdana" w:hAnsi="Verdana"/>
          <w:color w:val="auto"/>
          <w:szCs w:val="18"/>
          <w:lang w:val="pl-PL"/>
        </w:rPr>
        <w:t>stosowania i korzystania z kluczowego wskaźnika referencyjnego WIBOR</w:t>
      </w:r>
      <w:r w:rsidR="00BA15AA" w:rsidRPr="004F20A1">
        <w:rPr>
          <w:rFonts w:ascii="Verdana" w:hAnsi="Verdana"/>
          <w:color w:val="auto"/>
          <w:szCs w:val="18"/>
          <w:lang w:val="pl-PL"/>
        </w:rPr>
        <w:t xml:space="preserve">, </w:t>
      </w:r>
      <w:r w:rsidR="00185F10" w:rsidRPr="004F20A1">
        <w:rPr>
          <w:rFonts w:ascii="Verdana" w:hAnsi="Verdana"/>
          <w:color w:val="auto"/>
          <w:szCs w:val="18"/>
          <w:lang w:val="pl-PL"/>
        </w:rPr>
        <w:t xml:space="preserve"> </w:t>
      </w:r>
      <w:r w:rsidR="001F491B" w:rsidRPr="004F20A1">
        <w:rPr>
          <w:rFonts w:ascii="Verdana" w:hAnsi="Verdana"/>
          <w:color w:val="auto"/>
          <w:szCs w:val="18"/>
          <w:lang w:val="pl-PL"/>
        </w:rPr>
        <w:t>mającą</w:t>
      </w:r>
      <w:r w:rsidR="008E1BA5" w:rsidRPr="004F20A1">
        <w:rPr>
          <w:rFonts w:ascii="Verdana" w:hAnsi="Verdana"/>
          <w:color w:val="auto"/>
          <w:szCs w:val="18"/>
          <w:lang w:val="pl-PL"/>
        </w:rPr>
        <w:t xml:space="preserve"> </w:t>
      </w:r>
      <w:r w:rsidR="003F5199" w:rsidRPr="004F20A1">
        <w:rPr>
          <w:rFonts w:ascii="Verdana" w:hAnsi="Verdana"/>
          <w:color w:val="auto"/>
          <w:szCs w:val="18"/>
          <w:lang w:val="pl-PL"/>
        </w:rPr>
        <w:t>zastosowanie</w:t>
      </w:r>
      <w:r w:rsidR="007D6967" w:rsidRPr="004F20A1">
        <w:rPr>
          <w:rFonts w:ascii="Verdana" w:hAnsi="Verdana"/>
          <w:color w:val="auto"/>
          <w:szCs w:val="18"/>
          <w:lang w:val="pl-PL"/>
        </w:rPr>
        <w:t xml:space="preserve"> </w:t>
      </w:r>
      <w:r w:rsidR="00BB6BAD" w:rsidRPr="004F20A1">
        <w:rPr>
          <w:rFonts w:ascii="Verdana" w:hAnsi="Verdana"/>
          <w:color w:val="auto"/>
          <w:szCs w:val="18"/>
          <w:lang w:val="pl-PL"/>
        </w:rPr>
        <w:t xml:space="preserve">wyłącznie </w:t>
      </w:r>
      <w:r w:rsidR="003F5199" w:rsidRPr="004F20A1">
        <w:rPr>
          <w:rFonts w:ascii="Verdana" w:hAnsi="Verdana"/>
          <w:color w:val="auto"/>
          <w:szCs w:val="18"/>
          <w:lang w:val="pl-PL"/>
        </w:rPr>
        <w:t xml:space="preserve">do dłużnych papierów wartościowych </w:t>
      </w:r>
      <w:r w:rsidR="00BA15AA" w:rsidRPr="004F20A1">
        <w:rPr>
          <w:rFonts w:ascii="Verdana" w:hAnsi="Verdana"/>
          <w:color w:val="auto"/>
          <w:szCs w:val="18"/>
          <w:lang w:val="pl-PL"/>
        </w:rPr>
        <w:t>wyemitowanych do dnia</w:t>
      </w:r>
      <w:r w:rsidR="003F5199" w:rsidRPr="004F20A1">
        <w:rPr>
          <w:rFonts w:ascii="Verdana" w:hAnsi="Verdana"/>
          <w:color w:val="auto"/>
          <w:szCs w:val="18"/>
          <w:lang w:val="pl-PL"/>
        </w:rPr>
        <w:t xml:space="preserve"> </w:t>
      </w:r>
      <w:r w:rsidR="002A4990">
        <w:rPr>
          <w:rFonts w:ascii="Verdana" w:hAnsi="Verdana"/>
          <w:color w:val="auto"/>
          <w:szCs w:val="18"/>
          <w:lang w:val="pl-PL"/>
        </w:rPr>
        <w:t xml:space="preserve">31 grudnia </w:t>
      </w:r>
      <w:r w:rsidR="003F5199" w:rsidRPr="004F20A1">
        <w:rPr>
          <w:rFonts w:ascii="Verdana" w:hAnsi="Verdana"/>
          <w:color w:val="auto"/>
          <w:szCs w:val="18"/>
          <w:lang w:val="pl-PL"/>
        </w:rPr>
        <w:t>2026 r.</w:t>
      </w:r>
      <w:r w:rsidR="007D6967" w:rsidRPr="004F20A1">
        <w:rPr>
          <w:rFonts w:ascii="Verdana" w:hAnsi="Verdana"/>
          <w:color w:val="auto"/>
          <w:szCs w:val="18"/>
          <w:lang w:val="pl-PL"/>
        </w:rPr>
        <w:t xml:space="preserve"> </w:t>
      </w:r>
    </w:p>
    <w:p w14:paraId="282AF385" w14:textId="77777777" w:rsidR="000807BB" w:rsidRPr="00A95744" w:rsidRDefault="000807BB" w:rsidP="000807BB">
      <w:pPr>
        <w:pStyle w:val="Akapitzlist"/>
        <w:numPr>
          <w:ilvl w:val="0"/>
          <w:numId w:val="6"/>
        </w:numPr>
        <w:spacing w:after="0" w:line="360" w:lineRule="auto"/>
        <w:jc w:val="both"/>
        <w:rPr>
          <w:rFonts w:ascii="Verdana" w:hAnsi="Verdana"/>
          <w:color w:val="auto"/>
          <w:szCs w:val="18"/>
          <w:lang w:val="pl-PL"/>
        </w:rPr>
      </w:pPr>
      <w:r w:rsidRPr="00A95744">
        <w:rPr>
          <w:rFonts w:ascii="Verdana" w:hAnsi="Verdana"/>
          <w:color w:val="auto"/>
          <w:szCs w:val="18"/>
          <w:lang w:val="pl-PL"/>
        </w:rPr>
        <w:t>licencja jest udzielana na rok kalendarzowy stosowania i korzystania z danego Wskaźnika Referencyjnego lub inny okres wskazany przez Licencjobiorcę, zgodnie ze złożonym Oświadczeniem;</w:t>
      </w:r>
    </w:p>
    <w:p w14:paraId="12CD098A" w14:textId="77777777" w:rsidR="000807BB" w:rsidRPr="00A95744" w:rsidRDefault="000807BB" w:rsidP="000807BB">
      <w:pPr>
        <w:pStyle w:val="Akapitzlist"/>
        <w:numPr>
          <w:ilvl w:val="0"/>
          <w:numId w:val="6"/>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licencja na stosowanie obejmuje prawo do stosowania wskazanych w Oświadczeniu o którym mowa ust. 1 Wskaźników Referencyjnych w zakresie określonym w Dokumentacji; </w:t>
      </w:r>
    </w:p>
    <w:p w14:paraId="5EF3ACE7" w14:textId="0A607854" w:rsidR="000807BB" w:rsidRPr="00A95744" w:rsidRDefault="000807BB" w:rsidP="000807BB">
      <w:pPr>
        <w:pStyle w:val="Akapitzlist"/>
        <w:numPr>
          <w:ilvl w:val="0"/>
          <w:numId w:val="6"/>
        </w:numPr>
        <w:spacing w:after="0" w:line="360" w:lineRule="auto"/>
        <w:jc w:val="both"/>
        <w:rPr>
          <w:rFonts w:ascii="Verdana" w:hAnsi="Verdana"/>
          <w:color w:val="auto"/>
          <w:szCs w:val="18"/>
          <w:lang w:val="pl-PL"/>
        </w:rPr>
      </w:pPr>
      <w:r w:rsidRPr="00A95744">
        <w:rPr>
          <w:rFonts w:ascii="Verdana" w:hAnsi="Verdana"/>
          <w:color w:val="auto"/>
          <w:szCs w:val="18"/>
          <w:lang w:val="pl-PL"/>
        </w:rPr>
        <w:t>licencja na korzystanie obejmuje prawo do korzystania ze wskazanych Wskaźników Referencyjnych, w tym używania ich oznaczeń słownych lub graficznych stanowiących zarejestrowany znak towarowy oraz Dokumentacji stanowiącej przedmiot autorskich praw majątkowych.</w:t>
      </w:r>
    </w:p>
    <w:p w14:paraId="453CF57B"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Licencja określona w ust. 3 nie obejmuje prawa do udzielenia dalszych licencji na stosowanie oraz korzystanie ze Wskaźników Referencyjnych, ani też prawa przenoszenia licencji na osoby trzecie.</w:t>
      </w:r>
    </w:p>
    <w:p w14:paraId="4EA2482C" w14:textId="31F4D840"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Licencja określona w ust. 3 nie obejmuje prawa do wprowadzania zmian i modyfikacji w oznaczeniach słownych bądź graficznych Wskaźników Referencyjnych bądź Dokumentacji.</w:t>
      </w:r>
    </w:p>
    <w:p w14:paraId="42B7ADAE" w14:textId="443109FB" w:rsidR="000807BB"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Stosowanie oraz korzystanie ze Wskaźników Referencyjnych w sposób sprzeczny z Dokumentacją Administratora lub wykraczający poza ramy prawne w niej określone jest niedozwolone</w:t>
      </w:r>
      <w:r w:rsidR="009C39C4">
        <w:rPr>
          <w:rFonts w:ascii="Verdana" w:hAnsi="Verdana"/>
          <w:color w:val="auto"/>
          <w:szCs w:val="18"/>
          <w:lang w:val="pl-PL"/>
        </w:rPr>
        <w:t>, z zastrzeżeniem ust. 3</w:t>
      </w:r>
      <w:r w:rsidR="003F5199">
        <w:rPr>
          <w:rFonts w:ascii="Verdana" w:hAnsi="Verdana"/>
          <w:color w:val="auto"/>
          <w:szCs w:val="18"/>
          <w:lang w:val="pl-PL"/>
        </w:rPr>
        <w:t xml:space="preserve"> lit a). </w:t>
      </w:r>
    </w:p>
    <w:p w14:paraId="5043AA9C" w14:textId="75143B21" w:rsidR="008E6671" w:rsidRDefault="008E6671" w:rsidP="001F1A3D">
      <w:pPr>
        <w:pStyle w:val="Akapitzlist"/>
        <w:spacing w:after="0" w:line="360" w:lineRule="auto"/>
        <w:jc w:val="both"/>
        <w:rPr>
          <w:rFonts w:ascii="Verdana" w:hAnsi="Verdana"/>
          <w:color w:val="auto"/>
          <w:szCs w:val="18"/>
          <w:lang w:val="pl-PL"/>
        </w:rPr>
      </w:pPr>
    </w:p>
    <w:p w14:paraId="1B8EC30E" w14:textId="77777777" w:rsidR="000807BB" w:rsidRPr="00A95744" w:rsidRDefault="000807BB" w:rsidP="000807BB">
      <w:pPr>
        <w:spacing w:after="0" w:line="360" w:lineRule="auto"/>
        <w:jc w:val="both"/>
        <w:rPr>
          <w:rFonts w:ascii="Verdana" w:hAnsi="Verdana"/>
          <w:color w:val="auto"/>
          <w:szCs w:val="18"/>
          <w:lang w:val="pl-PL"/>
        </w:rPr>
      </w:pPr>
    </w:p>
    <w:p w14:paraId="4EDDB791"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4</w:t>
      </w:r>
    </w:p>
    <w:p w14:paraId="2AD81A75"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Opłaty za stosowanie i korzystanie ze Wskaźników Referencyjnych </w:t>
      </w:r>
    </w:p>
    <w:p w14:paraId="3F7BB9BE" w14:textId="4E232544" w:rsidR="000807BB" w:rsidRPr="00A95744" w:rsidRDefault="000807BB" w:rsidP="000807BB">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Licencjobiorca zobowiązany jest do terminowego wnoszenia na rzecz Administratora Opłat za udzieloną licencję na stosowanie i korzystanie z wybranych Wskaźników Referencyjnych. Opłaty za licencję na stosowanie i korzystanie ze Wskaźników Referencyjnych mogą być wnoszone przez Licencjobiorcę lub </w:t>
      </w:r>
      <w:r w:rsidR="00900716" w:rsidRPr="00A95744">
        <w:rPr>
          <w:rFonts w:ascii="Verdana" w:hAnsi="Verdana"/>
          <w:color w:val="auto"/>
          <w:szCs w:val="18"/>
          <w:lang w:val="pl-PL"/>
        </w:rPr>
        <w:t>działającego</w:t>
      </w:r>
      <w:r w:rsidRPr="00A95744">
        <w:rPr>
          <w:rFonts w:ascii="Verdana" w:hAnsi="Verdana"/>
          <w:color w:val="auto"/>
          <w:szCs w:val="18"/>
          <w:lang w:val="pl-PL"/>
        </w:rPr>
        <w:t xml:space="preserve"> </w:t>
      </w:r>
      <w:r w:rsidR="00900716">
        <w:rPr>
          <w:rFonts w:ascii="Verdana" w:hAnsi="Verdana"/>
          <w:color w:val="auto"/>
          <w:szCs w:val="18"/>
          <w:lang w:val="pl-PL"/>
        </w:rPr>
        <w:t xml:space="preserve">w </w:t>
      </w:r>
      <w:r w:rsidRPr="00A95744">
        <w:rPr>
          <w:rFonts w:ascii="Verdana" w:hAnsi="Verdana"/>
          <w:color w:val="auto"/>
          <w:szCs w:val="18"/>
          <w:lang w:val="pl-PL"/>
        </w:rPr>
        <w:t xml:space="preserve">jego imieniu agenta emisji lub podmiot trzeci, na podstawie udzielonego pełnomocnictwa o którym mowa w </w:t>
      </w:r>
      <w:r w:rsidRPr="00A95744">
        <w:rPr>
          <w:rFonts w:ascii="Verdana" w:hAnsi="Verdana" w:cstheme="minorHAnsi"/>
          <w:color w:val="auto"/>
          <w:szCs w:val="18"/>
          <w:lang w:val="pl-PL"/>
        </w:rPr>
        <w:t>§</w:t>
      </w:r>
      <w:r w:rsidRPr="00A95744">
        <w:rPr>
          <w:rFonts w:ascii="Verdana" w:hAnsi="Verdana"/>
          <w:color w:val="auto"/>
          <w:szCs w:val="18"/>
          <w:lang w:val="pl-PL"/>
        </w:rPr>
        <w:t xml:space="preserve"> 8.</w:t>
      </w:r>
    </w:p>
    <w:p w14:paraId="0891938E" w14:textId="16B86EAF" w:rsidR="000807BB" w:rsidRPr="00A95744" w:rsidRDefault="000807BB" w:rsidP="000807BB">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Wysokość Opłaty za licencję na stosowanie i korzystanie ze Wskaźników Referencyjnych opracowywanych przez Administratora określa Tabela Opłat stanowiąca Załącznik nr 2 do </w:t>
      </w:r>
      <w:r w:rsidRPr="00A95744">
        <w:rPr>
          <w:rFonts w:ascii="Verdana" w:hAnsi="Verdana"/>
          <w:color w:val="auto"/>
          <w:szCs w:val="18"/>
          <w:lang w:val="pl-PL"/>
        </w:rPr>
        <w:lastRenderedPageBreak/>
        <w:t>Regulaminu.</w:t>
      </w:r>
      <w:r w:rsidR="000B531E" w:rsidRPr="00A95744">
        <w:rPr>
          <w:rFonts w:ascii="Verdana" w:hAnsi="Verdana"/>
          <w:color w:val="auto"/>
          <w:szCs w:val="18"/>
          <w:lang w:val="pl-PL"/>
        </w:rPr>
        <w:t xml:space="preserve"> Wskazane w Załączniku nr 2 Opłaty są wartościami netto, do których zostanie doliczony podatek VAT w wysokości zgodnej z obowiązującymi przepisami.  </w:t>
      </w:r>
    </w:p>
    <w:p w14:paraId="53D666C8" w14:textId="77777777" w:rsidR="000807BB" w:rsidRPr="00A95744" w:rsidRDefault="000807BB" w:rsidP="000807BB">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Licencjobiorca ma prawo wyboru rodzaju Opłaty za licencję na stosowanie i korzystanie ze Wskaźników Referencyjnych. Opłata może mieć charakter:</w:t>
      </w:r>
    </w:p>
    <w:p w14:paraId="0957E77E" w14:textId="77777777" w:rsidR="00A23E23" w:rsidRPr="00A95744" w:rsidRDefault="000807BB" w:rsidP="00A23E23">
      <w:pPr>
        <w:pStyle w:val="Akapitzlist"/>
        <w:numPr>
          <w:ilvl w:val="0"/>
          <w:numId w:val="24"/>
        </w:numPr>
        <w:spacing w:after="0" w:line="360" w:lineRule="auto"/>
        <w:jc w:val="both"/>
        <w:rPr>
          <w:rFonts w:ascii="Verdana" w:hAnsi="Verdana"/>
          <w:color w:val="auto"/>
          <w:szCs w:val="18"/>
          <w:lang w:val="pl-PL"/>
        </w:rPr>
      </w:pPr>
      <w:r w:rsidRPr="00A95744">
        <w:rPr>
          <w:rFonts w:ascii="Verdana" w:hAnsi="Verdana"/>
          <w:color w:val="auto"/>
          <w:szCs w:val="18"/>
          <w:lang w:val="pl-PL"/>
        </w:rPr>
        <w:t>Opłaty za Emitenta (licencja</w:t>
      </w:r>
      <w:r w:rsidR="00BE4A09" w:rsidRPr="00A95744">
        <w:rPr>
          <w:rFonts w:ascii="Verdana" w:hAnsi="Verdana"/>
          <w:color w:val="auto"/>
          <w:szCs w:val="18"/>
          <w:lang w:val="pl-PL"/>
        </w:rPr>
        <w:t xml:space="preserve"> obejmuje i </w:t>
      </w:r>
      <w:r w:rsidRPr="00A95744">
        <w:rPr>
          <w:rFonts w:ascii="Verdana" w:hAnsi="Verdana"/>
          <w:color w:val="auto"/>
          <w:szCs w:val="18"/>
          <w:lang w:val="pl-PL"/>
        </w:rPr>
        <w:t>dotyczy wszystkich serii dłużnych papierów wartościowych danego Emitenta w roku kalendarzowym),</w:t>
      </w:r>
    </w:p>
    <w:p w14:paraId="40570B68" w14:textId="75599938" w:rsidR="00DF3E5A" w:rsidRPr="00A95744" w:rsidRDefault="000807BB" w:rsidP="00A23E23">
      <w:pPr>
        <w:pStyle w:val="Akapitzlist"/>
        <w:numPr>
          <w:ilvl w:val="0"/>
          <w:numId w:val="24"/>
        </w:numPr>
        <w:spacing w:after="0" w:line="360" w:lineRule="auto"/>
        <w:jc w:val="both"/>
        <w:rPr>
          <w:rFonts w:ascii="Verdana" w:hAnsi="Verdana"/>
          <w:color w:val="auto"/>
          <w:szCs w:val="18"/>
          <w:lang w:val="pl-PL"/>
        </w:rPr>
      </w:pPr>
      <w:r w:rsidRPr="00A95744">
        <w:rPr>
          <w:rFonts w:ascii="Verdana" w:hAnsi="Verdana"/>
          <w:color w:val="auto"/>
          <w:szCs w:val="18"/>
          <w:lang w:val="pl-PL"/>
        </w:rPr>
        <w:t>Opłaty za Emisję (licencja obejmuję pojedynczą serię dłużnych papierów wartościowych w roku kalendarzowym).</w:t>
      </w:r>
    </w:p>
    <w:p w14:paraId="3CBDB60C" w14:textId="1CE61DA8" w:rsidR="00BA7F32" w:rsidRPr="00A95744" w:rsidRDefault="00BA7F32" w:rsidP="00A23E23">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Licencjobiorca dokonuje wyboru rodzaju Opłaty oraz czasu trwania licencji poprzez zaznaczenie określonych pól w Załączniku nr 1 do Regulaminu. Licencjobiorca ma możliwość wyboru:</w:t>
      </w:r>
    </w:p>
    <w:p w14:paraId="54FDBAAE" w14:textId="77777777" w:rsidR="00BA7F32" w:rsidRPr="00A95744" w:rsidRDefault="00BA7F32" w:rsidP="00BA7F32">
      <w:pPr>
        <w:pStyle w:val="Akapitzlist"/>
        <w:spacing w:after="0" w:line="360" w:lineRule="auto"/>
        <w:ind w:left="1080"/>
        <w:jc w:val="both"/>
        <w:rPr>
          <w:rFonts w:ascii="Verdana" w:hAnsi="Verdana"/>
          <w:color w:val="auto"/>
          <w:szCs w:val="18"/>
          <w:lang w:val="pl-PL"/>
        </w:rPr>
      </w:pPr>
      <w:r w:rsidRPr="00A95744">
        <w:rPr>
          <w:rFonts w:ascii="Verdana" w:hAnsi="Verdana"/>
          <w:color w:val="auto"/>
          <w:szCs w:val="18"/>
          <w:lang w:val="pl-PL"/>
        </w:rPr>
        <w:t>a)</w:t>
      </w:r>
      <w:r w:rsidRPr="00A95744">
        <w:rPr>
          <w:rFonts w:ascii="Verdana" w:hAnsi="Verdana"/>
          <w:color w:val="auto"/>
          <w:szCs w:val="18"/>
          <w:lang w:val="pl-PL"/>
        </w:rPr>
        <w:tab/>
        <w:t xml:space="preserve">Licencji rozliczanej w trybie rocznym, </w:t>
      </w:r>
    </w:p>
    <w:p w14:paraId="557DA5D9" w14:textId="24EF9AA0" w:rsidR="00BA7F32" w:rsidRPr="00A95744" w:rsidRDefault="00BA7F32" w:rsidP="00A23E23">
      <w:pPr>
        <w:pStyle w:val="Akapitzlist"/>
        <w:spacing w:after="0" w:line="360" w:lineRule="auto"/>
        <w:ind w:left="1080"/>
        <w:jc w:val="both"/>
        <w:rPr>
          <w:rFonts w:ascii="Verdana" w:hAnsi="Verdana"/>
          <w:color w:val="auto"/>
          <w:szCs w:val="18"/>
          <w:lang w:val="pl-PL"/>
        </w:rPr>
      </w:pPr>
      <w:r w:rsidRPr="00A95744">
        <w:rPr>
          <w:rFonts w:ascii="Verdana" w:hAnsi="Verdana"/>
          <w:color w:val="auto"/>
          <w:szCs w:val="18"/>
          <w:lang w:val="pl-PL"/>
        </w:rPr>
        <w:t>b)</w:t>
      </w:r>
      <w:r w:rsidRPr="00A95744">
        <w:rPr>
          <w:rFonts w:ascii="Verdana" w:hAnsi="Verdana"/>
          <w:color w:val="auto"/>
          <w:szCs w:val="18"/>
          <w:lang w:val="pl-PL"/>
        </w:rPr>
        <w:tab/>
        <w:t xml:space="preserve">Licencji rozliczanej w trybie innym niż ten wskazany w lit. a).  </w:t>
      </w:r>
    </w:p>
    <w:p w14:paraId="58F162B0" w14:textId="197C8AC8" w:rsidR="000807BB" w:rsidRPr="00A95744" w:rsidRDefault="000807BB" w:rsidP="00A23E23">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Podstawą do ustalenia wysokości Opłaty w pierwszym roku kalendarzowym stosowania i korzystania </w:t>
      </w:r>
      <w:r w:rsidR="00246044" w:rsidRPr="00A95744">
        <w:rPr>
          <w:rFonts w:ascii="Verdana" w:hAnsi="Verdana"/>
          <w:color w:val="auto"/>
          <w:szCs w:val="18"/>
          <w:lang w:val="pl-PL"/>
        </w:rPr>
        <w:t xml:space="preserve">oraz w kolejnych latach kalendarzowych stosowania i korzystania </w:t>
      </w:r>
      <w:r w:rsidRPr="00A95744">
        <w:rPr>
          <w:rFonts w:ascii="Verdana" w:hAnsi="Verdana"/>
          <w:color w:val="auto"/>
          <w:szCs w:val="18"/>
          <w:lang w:val="pl-PL"/>
        </w:rPr>
        <w:t>jest weryfikowany przez Administrator</w:t>
      </w:r>
      <w:r w:rsidR="0027260B" w:rsidRPr="00A95744">
        <w:rPr>
          <w:rFonts w:ascii="Verdana" w:hAnsi="Verdana"/>
          <w:color w:val="auto"/>
          <w:szCs w:val="18"/>
          <w:lang w:val="pl-PL"/>
        </w:rPr>
        <w:t>a</w:t>
      </w:r>
      <w:r w:rsidRPr="00A95744">
        <w:rPr>
          <w:rFonts w:ascii="Verdana" w:hAnsi="Verdana"/>
          <w:color w:val="auto"/>
          <w:szCs w:val="18"/>
          <w:lang w:val="pl-PL"/>
        </w:rPr>
        <w:t xml:space="preserve"> stan całkowitego nominału emisji zmiennokuponowych dłużnych papierów wartościowych Emitenta</w:t>
      </w:r>
      <w:r w:rsidR="00120555" w:rsidRPr="00A95744">
        <w:rPr>
          <w:rFonts w:ascii="Verdana" w:hAnsi="Verdana"/>
          <w:color w:val="auto"/>
          <w:szCs w:val="18"/>
          <w:lang w:val="pl-PL"/>
        </w:rPr>
        <w:t>.</w:t>
      </w:r>
      <w:r w:rsidRPr="00A95744">
        <w:rPr>
          <w:rFonts w:ascii="Verdana" w:hAnsi="Verdana"/>
          <w:color w:val="auto"/>
          <w:szCs w:val="18"/>
          <w:lang w:val="pl-PL"/>
        </w:rPr>
        <w:t xml:space="preserve"> </w:t>
      </w:r>
      <w:r w:rsidR="005269A9" w:rsidRPr="00A95744">
        <w:rPr>
          <w:rFonts w:ascii="Verdana" w:hAnsi="Verdana"/>
          <w:color w:val="auto"/>
          <w:szCs w:val="18"/>
          <w:lang w:val="pl-PL"/>
        </w:rPr>
        <w:t>Podstaw</w:t>
      </w:r>
      <w:r w:rsidR="0027260B" w:rsidRPr="00A95744">
        <w:rPr>
          <w:rFonts w:ascii="Verdana" w:hAnsi="Verdana"/>
          <w:color w:val="auto"/>
          <w:szCs w:val="18"/>
          <w:lang w:val="pl-PL"/>
        </w:rPr>
        <w:t>ą</w:t>
      </w:r>
      <w:r w:rsidR="005269A9" w:rsidRPr="00A95744">
        <w:rPr>
          <w:rFonts w:ascii="Verdana" w:hAnsi="Verdana"/>
          <w:color w:val="auto"/>
          <w:szCs w:val="18"/>
          <w:lang w:val="pl-PL"/>
        </w:rPr>
        <w:t xml:space="preserve"> do ustalenie wysokości Opłaty w ostatnim roku kalendarzowym stosowania i korzystania jest zweryfikowany przez Administratora stan całkowitego nominału dłużnych papierów wartościowych w Krajowym Depozycie Papierów Wartościowych S.A. aktualnym na koniec miesiąca poprzedzającego wygaśniecie emisji.</w:t>
      </w:r>
      <w:bookmarkStart w:id="0" w:name="_Hlk221524812"/>
    </w:p>
    <w:p w14:paraId="3F63CE02" w14:textId="501054BC" w:rsidR="000807BB" w:rsidRPr="00A95744" w:rsidRDefault="000807BB">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Opłaty</w:t>
      </w:r>
      <w:r w:rsidR="004A371A" w:rsidRPr="00A95744">
        <w:rPr>
          <w:rFonts w:ascii="Verdana" w:hAnsi="Verdana"/>
          <w:color w:val="auto"/>
          <w:szCs w:val="18"/>
          <w:lang w:val="pl-PL"/>
        </w:rPr>
        <w:t xml:space="preserve"> za pierwszy rok i kolejne lata stosowania i korzystania</w:t>
      </w:r>
      <w:r w:rsidR="002F21D9" w:rsidRPr="00A95744">
        <w:rPr>
          <w:rFonts w:ascii="Verdana" w:hAnsi="Verdana"/>
          <w:color w:val="auto"/>
          <w:szCs w:val="18"/>
          <w:lang w:val="pl-PL"/>
        </w:rPr>
        <w:t xml:space="preserve">, </w:t>
      </w:r>
      <w:r w:rsidRPr="00A95744">
        <w:rPr>
          <w:rFonts w:ascii="Verdana" w:hAnsi="Verdana"/>
          <w:color w:val="auto"/>
          <w:szCs w:val="18"/>
          <w:lang w:val="pl-PL"/>
        </w:rPr>
        <w:t xml:space="preserve">przy wyborze rodzaju opłaty o którym mowa w ust. </w:t>
      </w:r>
      <w:r w:rsidR="00BA7F32" w:rsidRPr="00A95744">
        <w:rPr>
          <w:rFonts w:ascii="Verdana" w:hAnsi="Verdana"/>
          <w:color w:val="auto"/>
          <w:szCs w:val="18"/>
          <w:lang w:val="pl-PL"/>
        </w:rPr>
        <w:t>4</w:t>
      </w:r>
      <w:r w:rsidRPr="00A95744">
        <w:rPr>
          <w:rFonts w:ascii="Verdana" w:hAnsi="Verdana"/>
          <w:color w:val="auto"/>
          <w:szCs w:val="18"/>
          <w:lang w:val="pl-PL"/>
        </w:rPr>
        <w:t xml:space="preserve"> lit</w:t>
      </w:r>
      <w:r w:rsidR="000E55A9" w:rsidRPr="00A95744">
        <w:rPr>
          <w:rFonts w:ascii="Verdana" w:hAnsi="Verdana"/>
          <w:color w:val="auto"/>
          <w:szCs w:val="18"/>
          <w:lang w:val="pl-PL"/>
        </w:rPr>
        <w:t>.</w:t>
      </w:r>
      <w:r w:rsidRPr="00A95744">
        <w:rPr>
          <w:rFonts w:ascii="Verdana" w:hAnsi="Verdana"/>
          <w:color w:val="auto"/>
          <w:szCs w:val="18"/>
          <w:lang w:val="pl-PL"/>
        </w:rPr>
        <w:t xml:space="preserve"> a)</w:t>
      </w:r>
      <w:r w:rsidR="004A371A" w:rsidRPr="00A95744">
        <w:rPr>
          <w:rFonts w:ascii="Verdana" w:hAnsi="Verdana"/>
          <w:color w:val="auto"/>
          <w:szCs w:val="18"/>
          <w:lang w:val="pl-PL"/>
        </w:rPr>
        <w:t xml:space="preserve">, </w:t>
      </w:r>
      <w:r w:rsidRPr="00A95744">
        <w:rPr>
          <w:rFonts w:ascii="Verdana" w:hAnsi="Verdana"/>
          <w:color w:val="auto"/>
          <w:szCs w:val="18"/>
          <w:lang w:val="pl-PL"/>
        </w:rPr>
        <w:t xml:space="preserve"> </w:t>
      </w:r>
      <w:r w:rsidR="004A371A" w:rsidRPr="00A95744">
        <w:rPr>
          <w:rFonts w:ascii="Verdana" w:hAnsi="Verdana"/>
          <w:color w:val="auto"/>
          <w:szCs w:val="18"/>
          <w:lang w:val="pl-PL"/>
        </w:rPr>
        <w:t xml:space="preserve">z pominięciem ostatniego roku stosowania i korzystania, </w:t>
      </w:r>
      <w:r w:rsidRPr="00A95744">
        <w:rPr>
          <w:rFonts w:ascii="Verdana" w:hAnsi="Verdana"/>
          <w:color w:val="auto"/>
          <w:szCs w:val="18"/>
          <w:lang w:val="pl-PL"/>
        </w:rPr>
        <w:t xml:space="preserve">zostaną naliczone z dołu w oparciu o dane dostępne w Krajowym Depozycie Papierów Wartościowych S.A. wg stanu stan całkowitego nominału emisji dłużnych papierów wartościowych Emitenta na koniec zakończonego roku kalendarzowego, a dla rodzaju opłat o których mowa w ust. </w:t>
      </w:r>
      <w:r w:rsidR="00BA7F32" w:rsidRPr="00A95744">
        <w:rPr>
          <w:rFonts w:ascii="Verdana" w:hAnsi="Verdana"/>
          <w:color w:val="auto"/>
          <w:szCs w:val="18"/>
          <w:lang w:val="pl-PL"/>
        </w:rPr>
        <w:t>4</w:t>
      </w:r>
      <w:r w:rsidRPr="00A95744">
        <w:rPr>
          <w:rFonts w:ascii="Verdana" w:hAnsi="Verdana"/>
          <w:color w:val="auto"/>
          <w:szCs w:val="18"/>
          <w:lang w:val="pl-PL"/>
        </w:rPr>
        <w:t xml:space="preserve"> lit</w:t>
      </w:r>
      <w:r w:rsidR="000E55A9" w:rsidRPr="00A95744">
        <w:rPr>
          <w:rFonts w:ascii="Verdana" w:hAnsi="Verdana"/>
          <w:color w:val="auto"/>
          <w:szCs w:val="18"/>
          <w:lang w:val="pl-PL"/>
        </w:rPr>
        <w:t>.</w:t>
      </w:r>
      <w:r w:rsidRPr="00A95744">
        <w:rPr>
          <w:rFonts w:ascii="Verdana" w:hAnsi="Verdana"/>
          <w:color w:val="auto"/>
          <w:szCs w:val="18"/>
          <w:lang w:val="pl-PL"/>
        </w:rPr>
        <w:t xml:space="preserve"> b)</w:t>
      </w:r>
      <w:r w:rsidR="000F7579" w:rsidRPr="00A95744">
        <w:rPr>
          <w:rFonts w:ascii="Verdana" w:hAnsi="Verdana"/>
          <w:color w:val="auto"/>
          <w:szCs w:val="18"/>
          <w:lang w:val="pl-PL"/>
        </w:rPr>
        <w:t xml:space="preserve"> </w:t>
      </w:r>
      <w:r w:rsidRPr="00A95744">
        <w:rPr>
          <w:rFonts w:ascii="Verdana" w:hAnsi="Verdana"/>
          <w:color w:val="auto"/>
          <w:szCs w:val="18"/>
          <w:lang w:val="pl-PL"/>
        </w:rPr>
        <w:t xml:space="preserve">- </w:t>
      </w:r>
      <w:r w:rsidR="000F7579" w:rsidRPr="00A95744">
        <w:rPr>
          <w:rFonts w:ascii="Verdana" w:hAnsi="Verdana"/>
          <w:color w:val="auto"/>
          <w:szCs w:val="18"/>
          <w:lang w:val="pl-PL"/>
        </w:rPr>
        <w:t xml:space="preserve"> </w:t>
      </w:r>
      <w:r w:rsidRPr="00A95744">
        <w:rPr>
          <w:rFonts w:ascii="Verdana" w:hAnsi="Verdana"/>
          <w:color w:val="auto"/>
          <w:szCs w:val="18"/>
          <w:lang w:val="pl-PL"/>
        </w:rPr>
        <w:t>z góry, na postawie tych samych danych</w:t>
      </w:r>
      <w:r w:rsidR="00064EE0" w:rsidRPr="00A95744">
        <w:rPr>
          <w:rFonts w:ascii="Verdana" w:hAnsi="Verdana"/>
          <w:color w:val="auto"/>
          <w:szCs w:val="18"/>
          <w:lang w:val="pl-PL"/>
        </w:rPr>
        <w:t xml:space="preserve"> aktualnych na ostatni dzień miesiąca następującego po </w:t>
      </w:r>
      <w:r w:rsidR="00DF3E5A" w:rsidRPr="00A95744">
        <w:rPr>
          <w:rFonts w:ascii="Verdana" w:hAnsi="Verdana"/>
          <w:color w:val="auto"/>
          <w:szCs w:val="18"/>
          <w:lang w:val="pl-PL"/>
        </w:rPr>
        <w:t xml:space="preserve">miesiącu </w:t>
      </w:r>
      <w:r w:rsidR="00064EE0" w:rsidRPr="00A95744">
        <w:rPr>
          <w:rFonts w:ascii="Verdana" w:hAnsi="Verdana"/>
          <w:color w:val="auto"/>
          <w:szCs w:val="18"/>
          <w:lang w:val="pl-PL"/>
        </w:rPr>
        <w:t>złożenia Oświadczenia, o ile do tego dnia nastąpiła rejestracja</w:t>
      </w:r>
      <w:r w:rsidR="00017E8C" w:rsidRPr="00A95744">
        <w:rPr>
          <w:rFonts w:ascii="Verdana" w:hAnsi="Verdana"/>
          <w:color w:val="auto"/>
          <w:szCs w:val="18"/>
          <w:lang w:val="pl-PL"/>
        </w:rPr>
        <w:t xml:space="preserve"> w Krajowym Depozycie Papierów Wartościowych S.A.</w:t>
      </w:r>
      <w:r w:rsidR="00064EE0" w:rsidRPr="00A95744">
        <w:rPr>
          <w:rFonts w:ascii="Verdana" w:hAnsi="Verdana"/>
          <w:color w:val="auto"/>
          <w:szCs w:val="18"/>
          <w:lang w:val="pl-PL"/>
        </w:rPr>
        <w:t>,</w:t>
      </w:r>
      <w:r w:rsidRPr="00A95744">
        <w:rPr>
          <w:rFonts w:ascii="Verdana" w:hAnsi="Verdana"/>
          <w:color w:val="auto"/>
          <w:szCs w:val="18"/>
          <w:lang w:val="pl-PL"/>
        </w:rPr>
        <w:t xml:space="preserve"> z zastrzeżeniem ust. 10. </w:t>
      </w:r>
      <w:bookmarkEnd w:id="0"/>
    </w:p>
    <w:p w14:paraId="11D1436C" w14:textId="0A75EFF6" w:rsidR="004A5653" w:rsidRPr="00A95744" w:rsidRDefault="004A5653"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Opłata w ostatnim roku kalendarzowym stosowania i korzystani</w:t>
      </w:r>
      <w:r w:rsidR="00064EE0" w:rsidRPr="00A95744">
        <w:rPr>
          <w:rFonts w:ascii="Verdana" w:hAnsi="Verdana"/>
          <w:color w:val="auto"/>
          <w:szCs w:val="18"/>
          <w:lang w:val="pl-PL"/>
        </w:rPr>
        <w:t xml:space="preserve">a, przy wyborze opłaty o której mowa w ust. </w:t>
      </w:r>
      <w:r w:rsidR="00BA7F32" w:rsidRPr="00A95744">
        <w:rPr>
          <w:rFonts w:ascii="Verdana" w:hAnsi="Verdana"/>
          <w:color w:val="auto"/>
          <w:szCs w:val="18"/>
          <w:lang w:val="pl-PL"/>
        </w:rPr>
        <w:t>4</w:t>
      </w:r>
      <w:r w:rsidR="00064EE0" w:rsidRPr="00A95744">
        <w:rPr>
          <w:rFonts w:ascii="Verdana" w:hAnsi="Verdana"/>
          <w:color w:val="auto"/>
          <w:szCs w:val="18"/>
          <w:lang w:val="pl-PL"/>
        </w:rPr>
        <w:t xml:space="preserve"> </w:t>
      </w:r>
      <w:r w:rsidR="000E55A9" w:rsidRPr="00A95744">
        <w:rPr>
          <w:rFonts w:ascii="Verdana" w:hAnsi="Verdana"/>
          <w:color w:val="auto"/>
          <w:szCs w:val="18"/>
          <w:lang w:val="pl-PL"/>
        </w:rPr>
        <w:t xml:space="preserve">lit. </w:t>
      </w:r>
      <w:r w:rsidR="00064EE0" w:rsidRPr="00A95744">
        <w:rPr>
          <w:rFonts w:ascii="Verdana" w:hAnsi="Verdana"/>
          <w:color w:val="auto"/>
          <w:szCs w:val="18"/>
          <w:lang w:val="pl-PL"/>
        </w:rPr>
        <w:t xml:space="preserve">a), </w:t>
      </w:r>
      <w:r w:rsidRPr="00A95744">
        <w:rPr>
          <w:rFonts w:ascii="Verdana" w:hAnsi="Verdana"/>
          <w:color w:val="auto"/>
          <w:szCs w:val="18"/>
          <w:lang w:val="pl-PL"/>
        </w:rPr>
        <w:t xml:space="preserve"> zostanie naliczona w miesiącu następującym po </w:t>
      </w:r>
      <w:r w:rsidR="00A23E23" w:rsidRPr="00A95744">
        <w:rPr>
          <w:rFonts w:ascii="Verdana" w:hAnsi="Verdana"/>
          <w:color w:val="auto"/>
          <w:szCs w:val="18"/>
          <w:lang w:val="pl-PL"/>
        </w:rPr>
        <w:t xml:space="preserve">ustaniu </w:t>
      </w:r>
      <w:r w:rsidR="00375ED9" w:rsidRPr="00A95744">
        <w:rPr>
          <w:rFonts w:ascii="Verdana" w:hAnsi="Verdana"/>
          <w:color w:val="auto"/>
          <w:szCs w:val="18"/>
          <w:lang w:val="pl-PL"/>
        </w:rPr>
        <w:t>stosowania i korzystania ze wskaźników referencyjnych</w:t>
      </w:r>
      <w:r w:rsidR="00F6071C" w:rsidRPr="00A95744">
        <w:rPr>
          <w:rFonts w:ascii="Verdana" w:hAnsi="Verdana"/>
          <w:color w:val="auto"/>
          <w:szCs w:val="18"/>
          <w:lang w:val="pl-PL"/>
        </w:rPr>
        <w:t xml:space="preserve">. </w:t>
      </w:r>
    </w:p>
    <w:p w14:paraId="72E2F4EC" w14:textId="54E9CCB1"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Ustalenie przez Administratora wysokości Opłaty w sposób określony w ust. </w:t>
      </w:r>
      <w:r w:rsidR="00BA7F32" w:rsidRPr="00A95744">
        <w:rPr>
          <w:rFonts w:ascii="Verdana" w:hAnsi="Verdana"/>
          <w:color w:val="auto"/>
          <w:szCs w:val="18"/>
          <w:lang w:val="pl-PL"/>
        </w:rPr>
        <w:t>5</w:t>
      </w:r>
      <w:r w:rsidRPr="00A95744">
        <w:rPr>
          <w:rFonts w:ascii="Verdana" w:hAnsi="Verdana"/>
          <w:color w:val="auto"/>
          <w:szCs w:val="18"/>
          <w:lang w:val="pl-PL"/>
        </w:rPr>
        <w:t xml:space="preserve"> nie wyłącza uprawnienia Licencjobiorcy określonego w § 9 Regulaminu.</w:t>
      </w:r>
    </w:p>
    <w:p w14:paraId="07DAE58B"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weryfikuje stan całkowitego nominału emisji dłużnych papierów wartościowych Emitenta wskazany w Oświadczeniu na podstawie innych dostępnych źródeł gdy dane takie nie są dostępne w Krajowym Depozycie Papierów Wartościowych S.A. w Warszawie. W razie  rozbieżności Administrator zwróci się do Licencjobiorcy o przedstawienie wyjaśnień w tym zakresie, we wskazanym terminie. Nieprzedstawienie wyjaśnień przez Emitenta skutkuje ustaleniem wysokości Opłaty na podstawie dostępnych Administratorowi źródeł.</w:t>
      </w:r>
    </w:p>
    <w:p w14:paraId="73A4B6DF" w14:textId="285E8C6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Wysokość należnej Opłaty od emisji przeprowadzonej przez podmioty polskie lub zagraniczne, niezarejestrowanej w Krajowym Depozycie Papierów Wartościowych S.A. w Warszawie, ustalona jest na podstawie ostatnich danych z przedstawionego Oświadczenia stanowiącego Załącznik nr 1 do Regulaminu, na zasadach określonych w ust. </w:t>
      </w:r>
      <w:r w:rsidR="00BA7F32" w:rsidRPr="00A95744">
        <w:rPr>
          <w:rFonts w:ascii="Verdana" w:hAnsi="Verdana"/>
          <w:color w:val="auto"/>
          <w:szCs w:val="18"/>
          <w:lang w:val="pl-PL"/>
        </w:rPr>
        <w:t>5.</w:t>
      </w:r>
    </w:p>
    <w:p w14:paraId="11087DC1" w14:textId="178D8B20" w:rsidR="000807BB" w:rsidRPr="00A95744" w:rsidRDefault="00246044"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Wysokość</w:t>
      </w:r>
      <w:r w:rsidR="000807BB" w:rsidRPr="00A95744">
        <w:rPr>
          <w:rFonts w:ascii="Verdana" w:hAnsi="Verdana"/>
          <w:color w:val="auto"/>
          <w:szCs w:val="18"/>
          <w:lang w:val="pl-PL"/>
        </w:rPr>
        <w:t xml:space="preserve"> Opłat </w:t>
      </w:r>
      <w:r w:rsidRPr="00A95744">
        <w:rPr>
          <w:rFonts w:ascii="Verdana" w:hAnsi="Verdana"/>
          <w:color w:val="auto"/>
          <w:szCs w:val="18"/>
          <w:lang w:val="pl-PL"/>
        </w:rPr>
        <w:t xml:space="preserve">określa </w:t>
      </w:r>
      <w:r w:rsidR="000807BB" w:rsidRPr="00A95744">
        <w:rPr>
          <w:rFonts w:ascii="Verdana" w:hAnsi="Verdana"/>
          <w:color w:val="auto"/>
          <w:szCs w:val="18"/>
          <w:lang w:val="pl-PL"/>
        </w:rPr>
        <w:t>Tabela Opłat stanowiąca Załącznik nr 2 do Regulaminu. Wielkość opłaty uzależniona jest od stanu całkowitego nominału emisji zmiennokuponowych dłużnych papierów wartościowych Emitenta, w których stosowany jest wskaźnik referencyjny opracowywany przez Administratora, zgodnie z wielkością progów określonych w Tabeli Opłat.</w:t>
      </w:r>
    </w:p>
    <w:p w14:paraId="72595E8C"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Niewskazanie przez Licencjobiorcę w Oświadczeniu rodzaju Opłaty skutkuje nieudzieleniem licencji. </w:t>
      </w:r>
    </w:p>
    <w:p w14:paraId="698D12F9" w14:textId="2C1EFDCD"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Niewskazanie przez Licencjobiorcę okresu trwania licencji od którego uzależniony jest sposób rozliczenia skutkuje rozliczeniem Opłaty za licencję w trybie rocznym. </w:t>
      </w:r>
    </w:p>
    <w:p w14:paraId="641DCCDF" w14:textId="6535494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Licencja rozliczana zgodnie z ust. </w:t>
      </w:r>
      <w:r w:rsidR="00BA7F32" w:rsidRPr="00A95744">
        <w:rPr>
          <w:rFonts w:ascii="Verdana" w:hAnsi="Verdana"/>
          <w:color w:val="auto"/>
          <w:szCs w:val="18"/>
          <w:lang w:val="pl-PL"/>
        </w:rPr>
        <w:t>4</w:t>
      </w:r>
      <w:r w:rsidRPr="00A95744">
        <w:rPr>
          <w:rFonts w:ascii="Verdana" w:hAnsi="Verdana"/>
          <w:color w:val="auto"/>
          <w:szCs w:val="18"/>
          <w:lang w:val="pl-PL"/>
        </w:rPr>
        <w:t xml:space="preserve"> lit. a) ulega automatycznemu odnowieniu i nie wymaga składania nowych lub aktualizacji dotychczas złożonych Oświadczeń. </w:t>
      </w:r>
    </w:p>
    <w:p w14:paraId="66496EDC" w14:textId="48490CAD"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Przy wyborze przez Licencjobiorcę okresu licencji o którym mowa w ust. </w:t>
      </w:r>
      <w:r w:rsidR="00BA7F32" w:rsidRPr="00A95744">
        <w:rPr>
          <w:rFonts w:ascii="Verdana" w:hAnsi="Verdana"/>
          <w:color w:val="auto"/>
          <w:szCs w:val="18"/>
          <w:lang w:val="pl-PL"/>
        </w:rPr>
        <w:t xml:space="preserve">4 </w:t>
      </w:r>
      <w:r w:rsidRPr="00A95744">
        <w:rPr>
          <w:rFonts w:ascii="Verdana" w:hAnsi="Verdana"/>
          <w:color w:val="auto"/>
          <w:szCs w:val="18"/>
          <w:lang w:val="pl-PL"/>
        </w:rPr>
        <w:t>lit. b), dla Opłat o których mowa w ust. 3 Administrator naliczy rabat w wysokości 20 % od sumy Opłat za wybrany okres, o ile wybrany przez Licencjobiorcę okres nie jest krótszy niż 6 lat kalendarzowych.</w:t>
      </w:r>
    </w:p>
    <w:p w14:paraId="2A2EE4AF" w14:textId="45F38CA6"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Opłaty za licencje na stosowanie i korzystanie ze Wskaźników Referencyjnych za okres o którym mowa w ust. </w:t>
      </w:r>
      <w:r w:rsidR="00BA7F32" w:rsidRPr="00A95744">
        <w:rPr>
          <w:rFonts w:ascii="Verdana" w:hAnsi="Verdana"/>
          <w:color w:val="auto"/>
          <w:szCs w:val="18"/>
          <w:lang w:val="pl-PL"/>
        </w:rPr>
        <w:t>4</w:t>
      </w:r>
      <w:r w:rsidRPr="00A95744">
        <w:rPr>
          <w:rFonts w:ascii="Verdana" w:hAnsi="Verdana"/>
          <w:color w:val="auto"/>
          <w:szCs w:val="18"/>
          <w:lang w:val="pl-PL"/>
        </w:rPr>
        <w:t xml:space="preserve"> lit. b) naliczane są z góry, zaś Opłaty za licencje na stosowanie i korzystanie ze Wskaźników Referencyjnych za okres o którym mowa w ust. </w:t>
      </w:r>
      <w:r w:rsidR="00BA7F32" w:rsidRPr="00A95744">
        <w:rPr>
          <w:rFonts w:ascii="Verdana" w:hAnsi="Verdana"/>
          <w:color w:val="auto"/>
          <w:szCs w:val="18"/>
          <w:lang w:val="pl-PL"/>
        </w:rPr>
        <w:t>4</w:t>
      </w:r>
      <w:r w:rsidRPr="00A95744">
        <w:rPr>
          <w:rFonts w:ascii="Verdana" w:hAnsi="Verdana"/>
          <w:color w:val="auto"/>
          <w:szCs w:val="18"/>
          <w:lang w:val="pl-PL"/>
        </w:rPr>
        <w:t xml:space="preserve"> lit. a) naliczane są z dołu za pełne miesięczne okresy faktycznego stosowania i korzystania ze Wskaźników Referencyjnych.</w:t>
      </w:r>
    </w:p>
    <w:p w14:paraId="6407E397" w14:textId="71BA25B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Zmiana, w trakcie obowiązywania licencji, stanu całkowitego nominału emisji dłużnych papierów wartościowych Emitenta od którego uzależniona jest wysokość Opłaty, przy wyborze opłaty o której mowa w ust. </w:t>
      </w:r>
      <w:r w:rsidR="009234A4" w:rsidRPr="00A95744">
        <w:rPr>
          <w:rFonts w:ascii="Verdana" w:hAnsi="Verdana"/>
          <w:color w:val="auto"/>
          <w:szCs w:val="18"/>
          <w:lang w:val="pl-PL"/>
        </w:rPr>
        <w:t>4</w:t>
      </w:r>
      <w:r w:rsidRPr="00A95744">
        <w:rPr>
          <w:rFonts w:ascii="Verdana" w:hAnsi="Verdana"/>
          <w:color w:val="auto"/>
          <w:szCs w:val="18"/>
          <w:lang w:val="pl-PL"/>
        </w:rPr>
        <w:t xml:space="preserve"> lit </w:t>
      </w:r>
      <w:r w:rsidR="009234A4" w:rsidRPr="00A95744">
        <w:rPr>
          <w:rFonts w:ascii="Verdana" w:hAnsi="Verdana"/>
          <w:color w:val="auto"/>
          <w:szCs w:val="18"/>
          <w:lang w:val="pl-PL"/>
        </w:rPr>
        <w:t>b</w:t>
      </w:r>
      <w:r w:rsidRPr="00A95744">
        <w:rPr>
          <w:rFonts w:ascii="Verdana" w:hAnsi="Verdana"/>
          <w:color w:val="auto"/>
          <w:szCs w:val="18"/>
          <w:lang w:val="pl-PL"/>
        </w:rPr>
        <w:t>), skutkuje naliczeniem przez Administratora, od miesiąca w którym doszło do zmiany progu, Opłaty według nowego progu określonego w Tabeli Opłat.</w:t>
      </w:r>
      <w:r w:rsidR="00E5487C" w:rsidRPr="00A95744">
        <w:rPr>
          <w:rFonts w:ascii="Verdana" w:hAnsi="Verdana"/>
          <w:color w:val="auto"/>
          <w:szCs w:val="18"/>
          <w:lang w:val="pl-PL"/>
        </w:rPr>
        <w:t xml:space="preserve"> W tym celu Administrator wystawi fakturę korygującą. </w:t>
      </w:r>
      <w:r w:rsidRPr="00A95744">
        <w:rPr>
          <w:rFonts w:ascii="Verdana" w:hAnsi="Verdana"/>
          <w:color w:val="auto"/>
          <w:szCs w:val="18"/>
          <w:lang w:val="pl-PL"/>
        </w:rPr>
        <w:t xml:space="preserve"> </w:t>
      </w:r>
    </w:p>
    <w:p w14:paraId="1DB305C7"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Opłaty wnoszone są na podstawie wystawionej przez Administratora faktury VAT.</w:t>
      </w:r>
    </w:p>
    <w:p w14:paraId="77F168AC" w14:textId="13A657D9"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Po przekazaniu przez dotychczasowego Licencjobiorcę Oświadczenia wskazującego na przedłużenie licencji o kolejne minimum 6 lat kalendarzowych Administrator dokona weryfikacji podstawy do ustalenia wysokości Opłaty w oparciu o dane z</w:t>
      </w:r>
      <w:r w:rsidR="000F7579" w:rsidRPr="00A95744">
        <w:rPr>
          <w:rFonts w:ascii="Verdana" w:hAnsi="Verdana"/>
          <w:color w:val="auto"/>
          <w:szCs w:val="18"/>
          <w:lang w:val="pl-PL"/>
        </w:rPr>
        <w:t xml:space="preserve"> </w:t>
      </w:r>
      <w:r w:rsidRPr="00A95744">
        <w:rPr>
          <w:rFonts w:ascii="Verdana" w:hAnsi="Verdana"/>
          <w:color w:val="auto"/>
          <w:szCs w:val="18"/>
          <w:lang w:val="pl-PL"/>
        </w:rPr>
        <w:t>Krajowego Depozytu Papierów Wartościowych S.A. w Warszawie lub innych dostępnych źródeł i na tej podstawie wystawi fakturą VAT.</w:t>
      </w:r>
    </w:p>
    <w:p w14:paraId="03499655"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Zmiana rodzaju Opłaty możliwa jest jedynie poprzez złożenie Administratorowi, na adres wskazany w </w:t>
      </w:r>
      <w:r w:rsidRPr="00A95744">
        <w:rPr>
          <w:rFonts w:ascii="Verdana" w:hAnsi="Verdana" w:cstheme="minorHAnsi"/>
          <w:color w:val="auto"/>
          <w:szCs w:val="18"/>
          <w:lang w:val="pl-PL"/>
        </w:rPr>
        <w:t>§</w:t>
      </w:r>
      <w:r w:rsidRPr="00A95744">
        <w:rPr>
          <w:rFonts w:ascii="Verdana" w:hAnsi="Verdana"/>
          <w:color w:val="auto"/>
          <w:szCs w:val="18"/>
          <w:lang w:val="pl-PL"/>
        </w:rPr>
        <w:t xml:space="preserve"> 3 ust. 1 korekty Oświadczenia zgodnie ze wzorem stanowiącym Załącznik nr 1 do Regulaminu,</w:t>
      </w:r>
      <w:r w:rsidRPr="00A95744">
        <w:rPr>
          <w:rFonts w:ascii="Verdana" w:hAnsi="Verdana"/>
          <w:szCs w:val="18"/>
          <w:lang w:val="pl-PL"/>
        </w:rPr>
        <w:t xml:space="preserve"> </w:t>
      </w:r>
      <w:r w:rsidRPr="00A95744">
        <w:rPr>
          <w:rFonts w:ascii="Verdana" w:hAnsi="Verdana"/>
          <w:color w:val="auto"/>
          <w:szCs w:val="18"/>
          <w:lang w:val="pl-PL"/>
        </w:rPr>
        <w:t>w terminie nie później niż do końca III kwartału danego roku kalendarzowego. Wskazany przez Licencjobiorcę w korekcie Oświadczenia rodzaj Opłaty obowiązuje od 1 stycznia roku następującego po roku w którym złożono korektę Oświadczenia, a podstawą do ustalania przez Administratora wysokości tej Opłaty są dane z Krajowego Depozytu Papierów Wartościowych S.A. w Warszawie, aktualne na dzień 31 grudnia roku w którym złożono korektę Oświadczenia.</w:t>
      </w:r>
    </w:p>
    <w:p w14:paraId="3918FA7E"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Opłaty już naliczone przez Administratora i wniesione przez Licencjobiorcę przed zmianą rodzaju opłaty dokonaną poprzez złożenie korekty Oświadczenia, nie podlegają zwrotowi.</w:t>
      </w:r>
    </w:p>
    <w:p w14:paraId="0E4E95C9" w14:textId="6F84EB95"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Niewniesieni</w:t>
      </w:r>
      <w:r w:rsidR="004310BE" w:rsidRPr="00A95744">
        <w:rPr>
          <w:rFonts w:ascii="Verdana" w:hAnsi="Verdana"/>
          <w:color w:val="auto"/>
          <w:szCs w:val="18"/>
          <w:lang w:val="pl-PL"/>
        </w:rPr>
        <w:t>e</w:t>
      </w:r>
      <w:r w:rsidRPr="00A95744">
        <w:rPr>
          <w:rFonts w:ascii="Verdana" w:hAnsi="Verdana"/>
          <w:color w:val="auto"/>
          <w:szCs w:val="18"/>
          <w:lang w:val="pl-PL"/>
        </w:rPr>
        <w:t xml:space="preserve"> Opłaty we właściwym terminie skutkuje naliczeniem odsetek ustawowych za opóźnienie za każdy dzień opóźnienia.</w:t>
      </w:r>
    </w:p>
    <w:p w14:paraId="77D4FA9C"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Licencjobiorca będzie wnosił Opłaty w terminie 30 dni od daty otrzymania faktury VAT przelewem w formacie podzielonej płatności (tzw. </w:t>
      </w:r>
      <w:proofErr w:type="spellStart"/>
      <w:r w:rsidRPr="00A95744">
        <w:rPr>
          <w:rFonts w:ascii="Verdana" w:hAnsi="Verdana"/>
          <w:color w:val="auto"/>
          <w:szCs w:val="18"/>
          <w:lang w:val="pl-PL"/>
        </w:rPr>
        <w:t>split</w:t>
      </w:r>
      <w:proofErr w:type="spellEnd"/>
      <w:r w:rsidRPr="00A95744">
        <w:rPr>
          <w:rFonts w:ascii="Verdana" w:hAnsi="Verdana"/>
          <w:color w:val="auto"/>
          <w:szCs w:val="18"/>
          <w:lang w:val="pl-PL"/>
        </w:rPr>
        <w:t xml:space="preserve"> </w:t>
      </w:r>
      <w:proofErr w:type="spellStart"/>
      <w:r w:rsidRPr="00A95744">
        <w:rPr>
          <w:rFonts w:ascii="Verdana" w:hAnsi="Verdana"/>
          <w:color w:val="auto"/>
          <w:szCs w:val="18"/>
          <w:lang w:val="pl-PL"/>
        </w:rPr>
        <w:t>payment</w:t>
      </w:r>
      <w:proofErr w:type="spellEnd"/>
      <w:r w:rsidRPr="00A95744">
        <w:rPr>
          <w:rFonts w:ascii="Verdana" w:hAnsi="Verdana"/>
          <w:color w:val="auto"/>
          <w:szCs w:val="18"/>
          <w:lang w:val="pl-PL"/>
        </w:rPr>
        <w:t xml:space="preserve">) na rachunek Administratora </w:t>
      </w:r>
      <w:r w:rsidRPr="00A95744">
        <w:rPr>
          <w:rFonts w:ascii="Verdana" w:hAnsi="Verdana"/>
          <w:color w:val="auto"/>
          <w:szCs w:val="18"/>
          <w:lang w:val="pl-PL"/>
        </w:rPr>
        <w:lastRenderedPageBreak/>
        <w:t>o numerze PL 56124062181111001049098270 ujętym w Wykazie podatników VAT prowadzonym przez Ministra Finansów (tzw. White List).</w:t>
      </w:r>
    </w:p>
    <w:p w14:paraId="409F3486"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Licencjobiorca będzie wnosił Opłaty w walucie wskazanej na fakturze VAT. W przypadku wnoszenia Opłat w walucie innej niż złoty (PLN), wysokość Opłat zostanie wyliczona według średniego kursu Narodowego Banku Polskiego z ostatniego dnia roboczego poprzedzającego dzień wystawienia faktury VAT.</w:t>
      </w:r>
    </w:p>
    <w:p w14:paraId="36AECA47"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Za datę wniesienia Opłaty uznaje się dzień uznania rachunku bankowego Administratora.</w:t>
      </w:r>
    </w:p>
    <w:p w14:paraId="6A92D836" w14:textId="1D63A4A6"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Rozliczenia z tytułu Opłat i innych zobowiązań wnoszonych przez podmiot, który działa na podstawie upoważnienia do reprezentacji udzielonego mu przez emitenta są przedmiotem odrębnego porozumienia pomiędzy tymi podmiotami.</w:t>
      </w:r>
    </w:p>
    <w:p w14:paraId="12B0272F" w14:textId="08C552A2" w:rsidR="006A2E62" w:rsidRPr="00A95744" w:rsidRDefault="006A2E62"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Na zgłoszenie Licencjobiorcy</w:t>
      </w:r>
      <w:r w:rsidR="000C046A" w:rsidRPr="00A95744">
        <w:rPr>
          <w:rFonts w:ascii="Verdana" w:hAnsi="Verdana"/>
          <w:color w:val="auto"/>
          <w:szCs w:val="18"/>
          <w:lang w:val="pl-PL"/>
        </w:rPr>
        <w:t>,</w:t>
      </w:r>
      <w:r w:rsidRPr="00A95744">
        <w:rPr>
          <w:rFonts w:ascii="Verdana" w:hAnsi="Verdana"/>
          <w:color w:val="auto"/>
          <w:szCs w:val="18"/>
          <w:lang w:val="pl-PL"/>
        </w:rPr>
        <w:t xml:space="preserve"> Administrator przedstawi aktualny certyfikat rezydencji podatkowej w Polsce i/lub oświadczenie o statusie rzeczywistego właściciela w Polsce.</w:t>
      </w:r>
    </w:p>
    <w:p w14:paraId="14FFCF1F" w14:textId="6E4CED3C" w:rsidR="00FB29CE" w:rsidRPr="00A95744" w:rsidRDefault="00FB29CE"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jest czynnym podatnikiem podatku od towarów i usług (VAT) w Polsce.</w:t>
      </w:r>
    </w:p>
    <w:p w14:paraId="1E7D8854" w14:textId="77777777" w:rsidR="000807BB" w:rsidRPr="00A95744" w:rsidRDefault="000807BB" w:rsidP="000807BB">
      <w:pPr>
        <w:pStyle w:val="Akapitzlist"/>
        <w:spacing w:after="0" w:line="360" w:lineRule="auto"/>
        <w:jc w:val="both"/>
        <w:rPr>
          <w:rFonts w:ascii="Verdana" w:hAnsi="Verdana" w:cstheme="minorHAnsi"/>
          <w:b/>
          <w:bCs/>
          <w:color w:val="auto"/>
          <w:szCs w:val="18"/>
          <w:lang w:val="pl-PL"/>
        </w:rPr>
      </w:pPr>
    </w:p>
    <w:p w14:paraId="50E3C9E5" w14:textId="77777777" w:rsidR="000807BB" w:rsidRPr="00A95744" w:rsidRDefault="000807BB" w:rsidP="000807BB">
      <w:pPr>
        <w:pStyle w:val="Akapitzlist"/>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5</w:t>
      </w:r>
    </w:p>
    <w:p w14:paraId="4DC525B1" w14:textId="77777777" w:rsidR="000807BB" w:rsidRPr="00A95744" w:rsidRDefault="000807BB" w:rsidP="000807BB">
      <w:pPr>
        <w:pStyle w:val="Akapitzlist"/>
        <w:spacing w:after="0" w:line="360" w:lineRule="auto"/>
        <w:jc w:val="center"/>
        <w:rPr>
          <w:rFonts w:ascii="Verdana" w:hAnsi="Verdana"/>
          <w:b/>
          <w:bCs/>
          <w:color w:val="auto"/>
          <w:szCs w:val="18"/>
          <w:lang w:val="pl-PL"/>
        </w:rPr>
      </w:pPr>
      <w:r w:rsidRPr="00A95744">
        <w:rPr>
          <w:rFonts w:ascii="Verdana" w:hAnsi="Verdana"/>
          <w:b/>
          <w:bCs/>
          <w:color w:val="auto"/>
          <w:szCs w:val="18"/>
          <w:lang w:val="pl-PL"/>
        </w:rPr>
        <w:t>Skutki nieterminowego regulowania Opłat</w:t>
      </w:r>
    </w:p>
    <w:p w14:paraId="1F43C66D" w14:textId="77777777" w:rsidR="000807BB" w:rsidRPr="00A95744" w:rsidRDefault="000807BB" w:rsidP="000807BB">
      <w:pPr>
        <w:pStyle w:val="Akapitzlist"/>
        <w:numPr>
          <w:ilvl w:val="0"/>
          <w:numId w:val="8"/>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ma prawo do wypowiedzenia Licencjobiorcy licencji, przy zachowaniu formy pisemnej oraz prawo do poinformowania o tym fakcie Giełdy Papierów Wartościowych w Warszawie S.A. i Krajowy Depozyt Papierów Wartościowych S.A. w Warszawie</w:t>
      </w:r>
      <w:r w:rsidRPr="00A95744">
        <w:rPr>
          <w:lang w:val="pl-PL"/>
        </w:rPr>
        <w:t xml:space="preserve"> </w:t>
      </w:r>
      <w:r w:rsidRPr="00A95744">
        <w:rPr>
          <w:rFonts w:ascii="Verdana" w:hAnsi="Verdana"/>
          <w:color w:val="auto"/>
          <w:szCs w:val="18"/>
          <w:lang w:val="pl-PL"/>
        </w:rPr>
        <w:t xml:space="preserve">w przypadku opóźnienia w zapłacie Opłat, przekraczającego 60 dni. </w:t>
      </w:r>
    </w:p>
    <w:p w14:paraId="0620163F" w14:textId="77777777" w:rsidR="000807BB" w:rsidRPr="00A95744" w:rsidRDefault="000807BB" w:rsidP="000807BB">
      <w:pPr>
        <w:pStyle w:val="Akapitzlist"/>
        <w:numPr>
          <w:ilvl w:val="0"/>
          <w:numId w:val="8"/>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powiadomi Licencjobiorcę o zamiarze realizacji uprawnienia wskazanego w ust. 1, na 14 dni przed jego realizacją.</w:t>
      </w:r>
    </w:p>
    <w:p w14:paraId="18022FC7" w14:textId="77777777" w:rsidR="000807BB" w:rsidRPr="00A95744" w:rsidRDefault="000807BB" w:rsidP="000807BB">
      <w:pPr>
        <w:pStyle w:val="Akapitzlist"/>
        <w:spacing w:after="0" w:line="360" w:lineRule="auto"/>
        <w:jc w:val="both"/>
        <w:rPr>
          <w:rFonts w:ascii="Verdana" w:hAnsi="Verdana"/>
          <w:color w:val="auto"/>
          <w:szCs w:val="18"/>
          <w:lang w:val="pl-PL"/>
        </w:rPr>
      </w:pPr>
    </w:p>
    <w:p w14:paraId="26EFA44F"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6</w:t>
      </w:r>
    </w:p>
    <w:p w14:paraId="527F3B52"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Odpowiedzialność </w:t>
      </w:r>
    </w:p>
    <w:p w14:paraId="7613A3B5" w14:textId="77777777" w:rsidR="000807BB" w:rsidRPr="00A95744" w:rsidRDefault="000807BB" w:rsidP="000807BB">
      <w:pPr>
        <w:pStyle w:val="Akapitzlist"/>
        <w:numPr>
          <w:ilvl w:val="3"/>
          <w:numId w:val="9"/>
        </w:numPr>
        <w:spacing w:after="0" w:line="360" w:lineRule="auto"/>
        <w:ind w:left="709"/>
        <w:jc w:val="both"/>
        <w:rPr>
          <w:rFonts w:ascii="Verdana" w:hAnsi="Verdana"/>
          <w:color w:val="auto"/>
          <w:szCs w:val="18"/>
          <w:lang w:val="pl-PL"/>
        </w:rPr>
      </w:pPr>
      <w:r w:rsidRPr="00A95744">
        <w:rPr>
          <w:rFonts w:ascii="Verdana" w:hAnsi="Verdana"/>
          <w:color w:val="auto"/>
          <w:szCs w:val="18"/>
          <w:lang w:val="pl-PL"/>
        </w:rPr>
        <w:t>Administrator nie ponosi odpowiedzialności za:</w:t>
      </w:r>
    </w:p>
    <w:p w14:paraId="6A7C5EAC"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szkody będące następstwem działania, do którego został zobowiązany zgodnie z powszechnie obowiązującymi przepisami prawa lub Dokumentacją, a także działania podjętego w wyniku opinii, rekomendacji albo decyzji właściwego organu,</w:t>
      </w:r>
    </w:p>
    <w:p w14:paraId="4048D981"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brak możliwości opracowywania Wskaźników Referencyjnych spowodowany działaniem osób trzecich bądź siły zewnętrznej, a także za błędy, opóźnienia i niedokładności zawarte we Wskaźnikach Referencyjnych oraz za wynikające z nich szkody, chyba że szkody te są następstwem winy bądź niedbalstwa Administratora,</w:t>
      </w:r>
    </w:p>
    <w:p w14:paraId="45CD0EB7"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szkody będące następstwem korzystania przez Licencjobiorcę ze Wskaźników Referencyjnych opracowywanych przez Administratora, w szczególności z tytułu jakichkolwiek roszczeń związanych z wyemitowanymi dłużnymi papierami wartościowymi, dla których odniesienie stanowią wybrane Wskaźniki Referencyjne,</w:t>
      </w:r>
    </w:p>
    <w:p w14:paraId="66BA6F0D"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szkody powstałe w związku ze stosowaniem oraz korzystaniem ze Wskaźników Referencyjnych powstałe na skutek zdarzeń takich, jak awarie mechaniczne, elektryczne lub transmisyjne, a także awarie zasilania, funkcjonowania urządzeń i oprogramowania komputerowego oraz innych urządzeń, chyba że szkody te są następstwem winy bądź niedbalstwa Administratora,</w:t>
      </w:r>
    </w:p>
    <w:p w14:paraId="19432722" w14:textId="77777777" w:rsidR="000807BB" w:rsidRPr="00A95744" w:rsidRDefault="000807BB" w:rsidP="000807BB">
      <w:pPr>
        <w:pStyle w:val="Akapitzlist"/>
        <w:numPr>
          <w:ilvl w:val="0"/>
          <w:numId w:val="11"/>
        </w:numPr>
        <w:spacing w:after="0" w:line="360" w:lineRule="auto"/>
        <w:rPr>
          <w:rFonts w:ascii="Verdana" w:hAnsi="Verdana"/>
          <w:color w:val="auto"/>
          <w:szCs w:val="18"/>
          <w:lang w:val="pl-PL"/>
        </w:rPr>
      </w:pPr>
      <w:r w:rsidRPr="00A95744">
        <w:rPr>
          <w:rFonts w:ascii="Verdana" w:hAnsi="Verdana"/>
          <w:color w:val="auto"/>
          <w:szCs w:val="18"/>
          <w:lang w:val="pl-PL"/>
        </w:rPr>
        <w:lastRenderedPageBreak/>
        <w:t>szkody wynikające ze stosowania oraz korzystania ze Wskaźników Referencyjnych poza zakresem udzielonej licencji,</w:t>
      </w:r>
    </w:p>
    <w:p w14:paraId="4040FBEC"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szkody które wystąpiły na skutek zewnętrznego zdarzenia o nadzwyczajnym charakterze, którego nie można racjonalnie przewidzieć, a skutkom którego nie można zapobiec przy zachowaniu zwyczajowo przyjętej staranności i które znajdowały się poza kontrolą Administratora.</w:t>
      </w:r>
    </w:p>
    <w:p w14:paraId="180D6BE5" w14:textId="77777777" w:rsidR="000807BB" w:rsidRPr="00A95744" w:rsidRDefault="000807BB" w:rsidP="000807BB">
      <w:pPr>
        <w:pStyle w:val="Akapitzlist"/>
        <w:numPr>
          <w:ilvl w:val="3"/>
          <w:numId w:val="9"/>
        </w:numPr>
        <w:spacing w:after="0" w:line="360" w:lineRule="auto"/>
        <w:ind w:left="993" w:hanging="851"/>
        <w:jc w:val="both"/>
        <w:rPr>
          <w:rFonts w:ascii="Verdana" w:hAnsi="Verdana"/>
          <w:color w:val="auto"/>
          <w:szCs w:val="18"/>
          <w:lang w:val="pl-PL"/>
        </w:rPr>
      </w:pPr>
      <w:r w:rsidRPr="00A95744">
        <w:rPr>
          <w:rFonts w:ascii="Verdana" w:hAnsi="Verdana"/>
          <w:color w:val="auto"/>
          <w:szCs w:val="18"/>
          <w:lang w:val="pl-PL"/>
        </w:rPr>
        <w:t>Odpowiedzialność Licencjobiorcy z tytułu niewykonania lub nienależytego wykonania warunków licencji ograniczona jest do szkód będących bezpośrednim następstwem działania bądź zaniechania, a wyłączona w odniesieniu do szkód pośrednich i ewentualnych, w tym utraty spodziewanych korzyści. Odpowiedzialność Administratora z tytułu niewykonania lub nienależytego wykonania warunków licencji jest tożsama z odpowiedzialnością Licencjobiorcy o której mowa w zdaniu pierwszym.</w:t>
      </w:r>
    </w:p>
    <w:p w14:paraId="55F0FDE4" w14:textId="77777777" w:rsidR="000807BB" w:rsidRPr="00A95744" w:rsidRDefault="000807BB" w:rsidP="000807BB">
      <w:pPr>
        <w:pStyle w:val="Akapitzlist"/>
        <w:numPr>
          <w:ilvl w:val="3"/>
          <w:numId w:val="9"/>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Za wyjątkiem zobowiązań związanych z wnoszeniem Opłat oraz roszczeń związanych z naruszeniem praw własności intelektualnej, odpowiedzialność Licencjobiorcy jest ograniczona do sumy Opłat wnoszonych za rok, w którym doszło do zdarzenia powodującego szkodę.</w:t>
      </w:r>
    </w:p>
    <w:p w14:paraId="1948FB88"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7</w:t>
      </w:r>
    </w:p>
    <w:p w14:paraId="1FE652DF" w14:textId="77777777" w:rsidR="000807BB" w:rsidRPr="00A95744" w:rsidRDefault="000807BB" w:rsidP="000807BB">
      <w:pPr>
        <w:pStyle w:val="Akapitzlist"/>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Wypowiedzenie i rozwiązanie licencji </w:t>
      </w:r>
    </w:p>
    <w:p w14:paraId="6205ECE8" w14:textId="77777777"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Licencja ulega rozwiązaniu z dniem zaprzestania opracowywania Wskaźnika Referencyjnego przez Administratora na zasadach określonych w Dokumentacji, na który udzielona była licencja. Wskutek rozwiązania licencji opłaty wniesione z góry podlegają zwrotowi proporcjonalnie do liczby miesięcy za okres od daty rozwiązania licencji do końca okresu, za który wniesiono Opłatę.</w:t>
      </w:r>
    </w:p>
    <w:p w14:paraId="185E6D74" w14:textId="594EA578"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Zastąpienie, na podstawie przepisów prawa powszechnie obowiązującego, Wskaźnika Referencyjnego nie skutkuje automatycznym rozwiązaniem licencji, o ile zamiennikiem zastępowanego Wskaźnika Referencyjnego jest Wskaźnik Referencyjny opracowywany przez Administratora.</w:t>
      </w:r>
    </w:p>
    <w:p w14:paraId="7999C790" w14:textId="392ECDA0"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Zastąpienie, na podstawie postanowień określających działania Emitenta na wypadek zaprzestania opracowywania danego Wskaźnika Referencyjnego, nie skutkuje automatycznym rozwiązaniem licencji o ile zamiennikiem zastępowanego Wskaźnika Referencyjnego jest Wskaźnik Referencyjny opracowywany przez Administratora, pod warunkiem złożenia aktualizacji pkt. 3.3. z Oświadczenia stanowiącego Załącznik nr 1 do Regulaminu.</w:t>
      </w:r>
    </w:p>
    <w:p w14:paraId="1B89EA02" w14:textId="77777777"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Każda ze Stron może wypowiedzieć licencję w formie pisemnej skutecznie na koniec roku kalendarzowego z zachowaniem 90-dniowego terminu wypowiedzenia.</w:t>
      </w:r>
    </w:p>
    <w:p w14:paraId="14E30A99" w14:textId="56470287"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Naruszenie przez Licencjobiorcę warunków udzielonej licencji na stosowanie i korzystanie skutkować może wypowiedzeniem licencji przez Administratora, w</w:t>
      </w:r>
      <w:r w:rsidRPr="00A95744">
        <w:rPr>
          <w:rFonts w:ascii="Verdana" w:hAnsi="Verdana" w:cstheme="minorHAnsi"/>
          <w:b/>
          <w:bCs/>
          <w:color w:val="auto"/>
          <w:szCs w:val="18"/>
          <w:lang w:val="pl-PL"/>
        </w:rPr>
        <w:t xml:space="preserve"> </w:t>
      </w:r>
      <w:r w:rsidRPr="00A95744">
        <w:rPr>
          <w:rFonts w:ascii="Verdana" w:hAnsi="Verdana" w:cstheme="minorHAnsi"/>
          <w:color w:val="auto"/>
          <w:szCs w:val="18"/>
          <w:lang w:val="pl-PL"/>
        </w:rPr>
        <w:t>trybie</w:t>
      </w:r>
      <w:r w:rsidRPr="00A95744">
        <w:rPr>
          <w:rFonts w:ascii="Verdana" w:hAnsi="Verdana" w:cstheme="minorHAnsi"/>
          <w:b/>
          <w:bCs/>
          <w:color w:val="auto"/>
          <w:szCs w:val="18"/>
          <w:lang w:val="pl-PL"/>
        </w:rPr>
        <w:t xml:space="preserve"> </w:t>
      </w:r>
      <w:r w:rsidRPr="00A95744">
        <w:rPr>
          <w:rFonts w:ascii="Verdana" w:hAnsi="Verdana"/>
          <w:color w:val="auto"/>
          <w:szCs w:val="18"/>
          <w:lang w:val="pl-PL"/>
        </w:rPr>
        <w:t>natychmiastowym. Wypowiedzenie licencji przez Administratora nie stanowi podstawy do zwrotu Licencjobiorcy prawidłowo naliczonych i pobranych już Opłat.</w:t>
      </w:r>
    </w:p>
    <w:p w14:paraId="651A4813" w14:textId="7D38E73B"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Zmiana przez Administratora wysokości Opłat za stosowanie i korzystanie może stanowić podstawę do wypowiedzenia przez Licencjobiorcę licencji ze skutkiem na dzień poprzedzający wejście w życie tych zmian. Prawo to nie przysługuje jeśli zmiana Tabeli Opłat polega na:</w:t>
      </w:r>
    </w:p>
    <w:p w14:paraId="3C4BFF75" w14:textId="77777777" w:rsidR="000807BB" w:rsidRPr="00A95744" w:rsidRDefault="000807BB" w:rsidP="000807BB">
      <w:pPr>
        <w:pStyle w:val="Akapitzlist"/>
        <w:numPr>
          <w:ilvl w:val="0"/>
          <w:numId w:val="10"/>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obniżeniu wysokości Opłat bądź zmiany struktury Opłat niewpływającej na wysokość Opłat;</w:t>
      </w:r>
    </w:p>
    <w:p w14:paraId="4A93FD53" w14:textId="77777777" w:rsidR="000807BB" w:rsidRPr="00A95744" w:rsidRDefault="000807BB" w:rsidP="000807BB">
      <w:pPr>
        <w:pStyle w:val="Akapitzlist"/>
        <w:numPr>
          <w:ilvl w:val="0"/>
          <w:numId w:val="10"/>
        </w:numPr>
        <w:spacing w:after="0" w:line="360" w:lineRule="auto"/>
        <w:jc w:val="both"/>
        <w:rPr>
          <w:rFonts w:ascii="Verdana" w:hAnsi="Verdana"/>
          <w:color w:val="auto"/>
          <w:szCs w:val="18"/>
          <w:lang w:val="pl-PL"/>
        </w:rPr>
      </w:pPr>
      <w:r w:rsidRPr="00A95744">
        <w:rPr>
          <w:rFonts w:ascii="Verdana" w:hAnsi="Verdana"/>
          <w:color w:val="auto"/>
          <w:szCs w:val="18"/>
          <w:lang w:val="pl-PL"/>
        </w:rPr>
        <w:t>wprowadzeniu Opłat za nowe licencje.</w:t>
      </w:r>
    </w:p>
    <w:p w14:paraId="2A6A407B" w14:textId="77777777" w:rsidR="000807BB" w:rsidRPr="00A95744" w:rsidRDefault="000807BB" w:rsidP="00E471E8">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 xml:space="preserve">Wygaśnięcie licencji następuje wskutek wykreślenia Licencjobiorcy z odpowiedniego rejestru w wyniku likwidacji lub upadłości. </w:t>
      </w:r>
    </w:p>
    <w:p w14:paraId="493874AB" w14:textId="77777777" w:rsidR="000807BB" w:rsidRPr="00A95744" w:rsidRDefault="000807BB" w:rsidP="00E471E8">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Rozwiązanie licencji oraz jej wygaśnięcie powoduje utratę przez Licencjobiorcę prawa do stosowania i korzystania ze Wskaźników Referencyjnych opracowywanych przez Administratora.</w:t>
      </w:r>
    </w:p>
    <w:p w14:paraId="15E090A0"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8</w:t>
      </w:r>
    </w:p>
    <w:p w14:paraId="63190F0F"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Pełnomocnictwa</w:t>
      </w:r>
    </w:p>
    <w:p w14:paraId="5363907C" w14:textId="77777777" w:rsidR="000807BB" w:rsidRPr="00A95744" w:rsidRDefault="000807BB" w:rsidP="000807BB">
      <w:pPr>
        <w:pStyle w:val="Akapitzlist"/>
        <w:numPr>
          <w:ilvl w:val="6"/>
          <w:numId w:val="11"/>
        </w:numPr>
        <w:spacing w:after="0" w:line="360" w:lineRule="auto"/>
        <w:ind w:left="709"/>
        <w:jc w:val="both"/>
        <w:rPr>
          <w:rFonts w:ascii="Verdana" w:hAnsi="Verdana"/>
          <w:color w:val="auto"/>
          <w:szCs w:val="18"/>
          <w:lang w:val="pl-PL"/>
        </w:rPr>
      </w:pPr>
      <w:r w:rsidRPr="00A95744">
        <w:rPr>
          <w:rFonts w:ascii="Verdana" w:hAnsi="Verdana"/>
          <w:color w:val="auto"/>
          <w:szCs w:val="18"/>
          <w:lang w:val="pl-PL"/>
        </w:rPr>
        <w:t>Emitent może udzielić agentowi emisji lub osobie trzeciej pełnomocnictwa do wykonania w jego imieniu wszelkich czynności wymaganych celem udzielenia mu licencji na stosowanie i korzystanie ze Wskaźników Referencyjnych a także celem reprezentowania go przed Administratorem. Udzielone pełnomocnictwo przedstawiane jest Administratorowi wraz z uzupełnionym Oświadczeniem, zgodnie z treścią Załącznika nr 1 do Regulaminu.</w:t>
      </w:r>
    </w:p>
    <w:p w14:paraId="2DAABD50" w14:textId="77777777" w:rsidR="000807BB" w:rsidRPr="00A95744" w:rsidRDefault="000807BB" w:rsidP="000807BB">
      <w:pPr>
        <w:pStyle w:val="Akapitzlist"/>
        <w:numPr>
          <w:ilvl w:val="6"/>
          <w:numId w:val="11"/>
        </w:numPr>
        <w:spacing w:after="0" w:line="360" w:lineRule="auto"/>
        <w:ind w:left="709"/>
        <w:jc w:val="both"/>
        <w:rPr>
          <w:rFonts w:ascii="Verdana" w:hAnsi="Verdana"/>
          <w:color w:val="auto"/>
          <w:szCs w:val="18"/>
          <w:lang w:val="pl-PL"/>
        </w:rPr>
      </w:pPr>
      <w:r w:rsidRPr="00A95744">
        <w:rPr>
          <w:rFonts w:ascii="Verdana" w:hAnsi="Verdana"/>
          <w:color w:val="auto"/>
          <w:szCs w:val="18"/>
          <w:lang w:val="pl-PL"/>
        </w:rPr>
        <w:t>Wygaśnięcie pełnomocnictwa w czasie trwania licencji skutkuje koniecznością przedstawienia Administratorowi przez agenta emisji lub inny podmiot upoważniony do reprezentacji Emitenta nowego pełnomocnictwa, potwierdzającego jego upoważnienie do działania w imieniu i na rzecz Emitenta. Zobowiązanie to ma zastosowanie do sytuacji które wymagają przedstawienia nowego pełnomocnictwa takich jak pozyskanie nowej licencji, zmiana dotychczasowej licencji, rozwiązanie licencji.</w:t>
      </w:r>
    </w:p>
    <w:p w14:paraId="0A2D7EDB"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9</w:t>
      </w:r>
    </w:p>
    <w:p w14:paraId="0E685467"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Procedura odwoławcza</w:t>
      </w:r>
    </w:p>
    <w:p w14:paraId="537AB9C6" w14:textId="77777777" w:rsidR="000807BB" w:rsidRPr="00A95744" w:rsidRDefault="000807BB" w:rsidP="000807BB">
      <w:pPr>
        <w:pStyle w:val="Akapitzlist"/>
        <w:numPr>
          <w:ilvl w:val="3"/>
          <w:numId w:val="10"/>
        </w:numPr>
        <w:spacing w:after="0" w:line="360" w:lineRule="auto"/>
        <w:ind w:left="709" w:hanging="284"/>
        <w:jc w:val="both"/>
        <w:rPr>
          <w:rFonts w:ascii="Verdana" w:hAnsi="Verdana"/>
          <w:color w:val="auto"/>
          <w:szCs w:val="18"/>
          <w:lang w:val="pl-PL"/>
        </w:rPr>
      </w:pPr>
      <w:r w:rsidRPr="00A95744">
        <w:rPr>
          <w:rFonts w:ascii="Verdana" w:hAnsi="Verdana"/>
          <w:color w:val="auto"/>
          <w:szCs w:val="18"/>
          <w:lang w:val="pl-PL"/>
        </w:rPr>
        <w:t>Licencjobiorca może złożyć odwołanie od wysokości naliczonej przez Administratora Opłaty za licencję na stosowanie i korzystanie, w terminie 14 dni od daty otrzymania faktury VAT.</w:t>
      </w:r>
    </w:p>
    <w:p w14:paraId="2635D046" w14:textId="77777777" w:rsidR="000807BB" w:rsidRPr="00A95744" w:rsidRDefault="000807BB" w:rsidP="000807BB">
      <w:pPr>
        <w:pStyle w:val="Akapitzlist"/>
        <w:numPr>
          <w:ilvl w:val="3"/>
          <w:numId w:val="10"/>
        </w:numPr>
        <w:spacing w:after="0" w:line="360" w:lineRule="auto"/>
        <w:ind w:left="709" w:hanging="284"/>
        <w:jc w:val="both"/>
        <w:rPr>
          <w:rFonts w:ascii="Verdana" w:hAnsi="Verdana"/>
          <w:color w:val="auto"/>
          <w:szCs w:val="18"/>
          <w:lang w:val="pl-PL"/>
        </w:rPr>
      </w:pPr>
      <w:r w:rsidRPr="00A95744">
        <w:rPr>
          <w:rFonts w:ascii="Verdana" w:hAnsi="Verdana"/>
          <w:color w:val="auto"/>
          <w:szCs w:val="18"/>
          <w:lang w:val="pl-PL"/>
        </w:rPr>
        <w:t xml:space="preserve">Odwołanie musi być złożone w formie pisemnej i zawierać uzasadnienie, wraz z dokumentami potwierdzającymi zasadność zmiany wysokości naliczonej przez Administratora Opłaty za licencję na stosowanie i korzystanie. Odwołanie należy przesłać na adres wskazany w </w:t>
      </w:r>
      <w:r w:rsidRPr="00A95744">
        <w:rPr>
          <w:rFonts w:ascii="Verdana" w:hAnsi="Verdana" w:cstheme="minorHAnsi"/>
          <w:color w:val="auto"/>
          <w:szCs w:val="18"/>
          <w:lang w:val="pl-PL"/>
        </w:rPr>
        <w:t>§</w:t>
      </w:r>
      <w:r w:rsidRPr="00A95744">
        <w:rPr>
          <w:rFonts w:ascii="Verdana" w:hAnsi="Verdana"/>
          <w:color w:val="auto"/>
          <w:szCs w:val="18"/>
          <w:lang w:val="pl-PL"/>
        </w:rPr>
        <w:t xml:space="preserve"> 3 ust.1.</w:t>
      </w:r>
    </w:p>
    <w:p w14:paraId="7983E41E" w14:textId="77777777" w:rsidR="000807BB" w:rsidRPr="00A95744" w:rsidRDefault="000807BB" w:rsidP="000807BB">
      <w:pPr>
        <w:pStyle w:val="Akapitzlist"/>
        <w:numPr>
          <w:ilvl w:val="3"/>
          <w:numId w:val="10"/>
        </w:numPr>
        <w:spacing w:after="0" w:line="360" w:lineRule="auto"/>
        <w:ind w:left="709" w:hanging="284"/>
        <w:jc w:val="both"/>
        <w:rPr>
          <w:rFonts w:ascii="Verdana" w:hAnsi="Verdana"/>
          <w:color w:val="auto"/>
          <w:szCs w:val="18"/>
          <w:lang w:val="pl-PL"/>
        </w:rPr>
      </w:pPr>
      <w:r w:rsidRPr="00A95744">
        <w:rPr>
          <w:rFonts w:ascii="Verdana" w:hAnsi="Verdana"/>
          <w:color w:val="auto"/>
          <w:szCs w:val="18"/>
          <w:lang w:val="pl-PL"/>
        </w:rPr>
        <w:t>Administrator rozpatruje odwołanie w terminie 16 dni od dnia jego otrzymania, po przedstawieniu dokumentów wskazanych w ust. 2.</w:t>
      </w:r>
    </w:p>
    <w:p w14:paraId="53D3592B" w14:textId="77777777" w:rsidR="000807BB" w:rsidRPr="00A95744" w:rsidRDefault="000807BB" w:rsidP="000807BB">
      <w:pPr>
        <w:pStyle w:val="Akapitzlist"/>
        <w:numPr>
          <w:ilvl w:val="3"/>
          <w:numId w:val="10"/>
        </w:numPr>
        <w:spacing w:after="0" w:line="360" w:lineRule="auto"/>
        <w:ind w:left="709" w:hanging="284"/>
        <w:jc w:val="both"/>
        <w:rPr>
          <w:rFonts w:ascii="Verdana" w:hAnsi="Verdana"/>
          <w:color w:val="auto"/>
          <w:szCs w:val="18"/>
          <w:lang w:val="pl-PL"/>
        </w:rPr>
      </w:pPr>
      <w:r w:rsidRPr="00A95744">
        <w:rPr>
          <w:rFonts w:ascii="Verdana" w:hAnsi="Verdana"/>
          <w:color w:val="auto"/>
          <w:szCs w:val="18"/>
          <w:lang w:val="pl-PL"/>
        </w:rPr>
        <w:t xml:space="preserve">Dokonanie korekty faktury VAT przez Administratora następuje po pozytywnym rozpatrzeniu odwołania. </w:t>
      </w:r>
    </w:p>
    <w:p w14:paraId="6E10B3A4" w14:textId="77777777" w:rsidR="000807BB" w:rsidRPr="00A95744" w:rsidRDefault="000807BB" w:rsidP="000807BB">
      <w:pPr>
        <w:spacing w:after="0" w:line="360" w:lineRule="auto"/>
        <w:rPr>
          <w:rFonts w:ascii="Verdana" w:hAnsi="Verdana"/>
          <w:b/>
          <w:bCs/>
          <w:color w:val="auto"/>
          <w:szCs w:val="18"/>
          <w:lang w:val="pl-PL"/>
        </w:rPr>
      </w:pPr>
    </w:p>
    <w:p w14:paraId="11C87F6F"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10</w:t>
      </w:r>
    </w:p>
    <w:p w14:paraId="53CD8BAE"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Zmiany Regulaminu</w:t>
      </w:r>
    </w:p>
    <w:p w14:paraId="0F74818F"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Zmiana Regulaminu jest możliwa w przypadku: </w:t>
      </w:r>
    </w:p>
    <w:p w14:paraId="039AFB48" w14:textId="2858B86E" w:rsidR="000807BB" w:rsidRPr="00A95744" w:rsidRDefault="000807BB" w:rsidP="00E471E8">
      <w:pPr>
        <w:pStyle w:val="Akapitzlist"/>
        <w:numPr>
          <w:ilvl w:val="1"/>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wprowadzenia nowych lub zmiany dotychczas obowiązujących przepisów prawa, zmiany wykładni przepisów prawa, będącej skutkiem orzeczeń sądów, uchwał, decyzji, rekomendacji lub innych aktów wydawanych przez organ nadzoru, lub inne właściwe urzędy lub organy lub podjęciu takiej decyzji przez Administratora</w:t>
      </w:r>
      <w:r w:rsidR="009C39C4">
        <w:rPr>
          <w:rFonts w:ascii="Verdana" w:hAnsi="Verdana"/>
          <w:color w:val="auto"/>
          <w:szCs w:val="18"/>
          <w:lang w:val="pl-PL"/>
        </w:rPr>
        <w:t>,</w:t>
      </w:r>
      <w:r w:rsidRPr="00A95744">
        <w:rPr>
          <w:rFonts w:ascii="Verdana" w:hAnsi="Verdana"/>
          <w:color w:val="auto"/>
          <w:szCs w:val="18"/>
          <w:lang w:val="pl-PL"/>
        </w:rPr>
        <w:t xml:space="preserve"> </w:t>
      </w:r>
    </w:p>
    <w:p w14:paraId="6BA6B2B3" w14:textId="77777777" w:rsidR="000807BB" w:rsidRPr="00A95744" w:rsidRDefault="000807BB" w:rsidP="00E471E8">
      <w:pPr>
        <w:pStyle w:val="Akapitzlist"/>
        <w:numPr>
          <w:ilvl w:val="1"/>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wprowadzenia nowych licencji i usług do oferty lub zmiany oferty polegającej na modyfikacji zakresu licencji i usług, o ile zapewni to należyte wykonanie licencji.</w:t>
      </w:r>
    </w:p>
    <w:p w14:paraId="75226A0C"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Zmiany Regulaminu i Załączników do Regulaminu są udostępniane do wiadomości poprzez ich zamieszczenie na stronie internetowej Administratora.</w:t>
      </w:r>
    </w:p>
    <w:p w14:paraId="444B334A"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jest uprawniony do zmiany Tabeli Opłat, z tym zastrzeżeniem, że jeżeli zmiana dotyczy podwyższenia obecnie obowiązujących Opłat zmiana taka jest skuteczna od pierwszego dnia miesiąca następującego po upływie trzech miesięcy od daty jej wprowadzenia i wymaga poinformowania poprzez umieszczenie zmienionej Tabeli Opłat na stronie internetowej Administratora.</w:t>
      </w:r>
    </w:p>
    <w:p w14:paraId="13FB6B23" w14:textId="6976644A"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Zmiany w postaci dodania nowych licencji i usług do Tabeli Opłat lub zmiany inne niż te wskazane w powyższych ustępach są skuteczne od pierwszego dnia miesiąca następującego po miesiącu w którym dokonano zmian. </w:t>
      </w:r>
    </w:p>
    <w:p w14:paraId="2F49DB9B"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Zmienione postanowienia Regulaminu są wiążące o ile Licencjobiorca nie złoży wypowiedzenia w terminie 60 dni od dnia opublikowania informacji o zmianie. </w:t>
      </w:r>
    </w:p>
    <w:p w14:paraId="3F7AA47F" w14:textId="77777777" w:rsidR="000807BB" w:rsidRPr="00A95744" w:rsidRDefault="000807BB" w:rsidP="000807BB">
      <w:pPr>
        <w:spacing w:after="0" w:line="360" w:lineRule="auto"/>
        <w:jc w:val="both"/>
        <w:rPr>
          <w:rFonts w:ascii="Verdana" w:hAnsi="Verdana"/>
          <w:color w:val="auto"/>
          <w:szCs w:val="18"/>
          <w:lang w:val="pl-PL"/>
        </w:rPr>
      </w:pPr>
    </w:p>
    <w:p w14:paraId="5F057826"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11</w:t>
      </w:r>
    </w:p>
    <w:p w14:paraId="6FDF25BD"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PRAWO WŁAŚCIWE I ROZWIĄZYWANIE SPORÓW</w:t>
      </w:r>
    </w:p>
    <w:p w14:paraId="5EB7BEFE" w14:textId="77777777" w:rsidR="000807BB" w:rsidRPr="00A95744" w:rsidRDefault="000807BB" w:rsidP="00E471E8">
      <w:pPr>
        <w:pStyle w:val="Akapitzlist"/>
        <w:numPr>
          <w:ilvl w:val="0"/>
          <w:numId w:val="21"/>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Prawem właściwym jest prawo polskie. </w:t>
      </w:r>
    </w:p>
    <w:p w14:paraId="4A26EF83" w14:textId="77777777" w:rsidR="000807BB" w:rsidRPr="00A95744" w:rsidRDefault="000807BB" w:rsidP="00E471E8">
      <w:pPr>
        <w:pStyle w:val="Akapitzlist"/>
        <w:numPr>
          <w:ilvl w:val="0"/>
          <w:numId w:val="21"/>
        </w:numPr>
        <w:spacing w:after="0" w:line="360" w:lineRule="auto"/>
        <w:jc w:val="both"/>
        <w:rPr>
          <w:rFonts w:ascii="Verdana" w:hAnsi="Verdana"/>
          <w:color w:val="auto"/>
          <w:szCs w:val="18"/>
          <w:lang w:val="pl-PL"/>
        </w:rPr>
      </w:pPr>
      <w:r w:rsidRPr="00A95744">
        <w:rPr>
          <w:rFonts w:ascii="Verdana" w:hAnsi="Verdana"/>
          <w:color w:val="auto"/>
          <w:szCs w:val="18"/>
          <w:lang w:val="pl-PL"/>
        </w:rPr>
        <w:t>Wszelkie spory powstałe w związku z Regulaminem będą w pierwszej kolejności rozwiązywane przez Licencjobiorcę i Administratora na drodze porozumienia i negocjacji, z poszanowaniem interesów Stron, a w przypadku nieosiągnięcia porozumienia zostaną poddane pod rozstrzygnięcie sądu powszechnego właściwego miejscowo dla siedziby Administratora.</w:t>
      </w:r>
    </w:p>
    <w:p w14:paraId="2C7E5FB3" w14:textId="77777777" w:rsidR="00715F19" w:rsidRPr="00546112" w:rsidRDefault="00715F19">
      <w:pPr>
        <w:rPr>
          <w:lang w:val="pl-PL"/>
        </w:rPr>
      </w:pPr>
    </w:p>
    <w:sectPr w:rsidR="00715F19" w:rsidRPr="00546112" w:rsidSect="00F25665">
      <w:headerReference w:type="even" r:id="rId13"/>
      <w:headerReference w:type="default" r:id="rId14"/>
      <w:footerReference w:type="even" r:id="rId15"/>
      <w:footerReference w:type="default" r:id="rId16"/>
      <w:headerReference w:type="first" r:id="rId17"/>
      <w:footerReference w:type="first" r:id="rId18"/>
      <w:pgSz w:w="11900" w:h="16840"/>
      <w:pgMar w:top="1304" w:right="1304" w:bottom="1304" w:left="130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1AC77" w14:textId="77777777" w:rsidR="002B548F" w:rsidRDefault="002B548F">
      <w:pPr>
        <w:spacing w:after="0"/>
      </w:pPr>
      <w:r>
        <w:separator/>
      </w:r>
    </w:p>
  </w:endnote>
  <w:endnote w:type="continuationSeparator" w:id="0">
    <w:p w14:paraId="528C477A" w14:textId="77777777" w:rsidR="002B548F" w:rsidRDefault="002B54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693883"/>
      <w:docPartObj>
        <w:docPartGallery w:val="Page Numbers (Bottom of Page)"/>
        <w:docPartUnique/>
      </w:docPartObj>
    </w:sdtPr>
    <w:sdtContent>
      <w:p w14:paraId="6B50100B" w14:textId="77777777" w:rsidR="00BF50A3" w:rsidRDefault="00183DAE">
        <w:pPr>
          <w:pStyle w:val="Stopka"/>
          <w:jc w:val="center"/>
        </w:pPr>
        <w:r>
          <w:fldChar w:fldCharType="begin"/>
        </w:r>
        <w:r>
          <w:instrText>PAGE   \* MERGEFORMAT</w:instrText>
        </w:r>
        <w:r>
          <w:fldChar w:fldCharType="separate"/>
        </w:r>
        <w:r>
          <w:rPr>
            <w:lang w:val="pl-PL"/>
          </w:rPr>
          <w:t>2</w:t>
        </w:r>
        <w:r>
          <w:fldChar w:fldCharType="end"/>
        </w:r>
      </w:p>
    </w:sdtContent>
  </w:sdt>
  <w:p w14:paraId="79846543" w14:textId="77777777" w:rsidR="00BF50A3" w:rsidRDefault="00BF50A3" w:rsidP="00A7271F">
    <w:pPr>
      <w:pStyle w:val="Stopka"/>
      <w:tabs>
        <w:tab w:val="left" w:pos="825"/>
        <w:tab w:val="right" w:pos="929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6692" w14:textId="77777777" w:rsidR="00BF50A3" w:rsidRDefault="00183DAE" w:rsidP="00AA037C">
    <w:pPr>
      <w:pStyle w:val="Stopka"/>
      <w:tabs>
        <w:tab w:val="center" w:pos="4646"/>
        <w:tab w:val="right" w:pos="9292"/>
      </w:tabs>
    </w:pPr>
    <w:r>
      <w:rPr>
        <w:noProof/>
        <w:lang w:val="pl-PL"/>
      </w:rPr>
      <w:drawing>
        <wp:anchor distT="0" distB="0" distL="114300" distR="114300" simplePos="0" relativeHeight="251664384" behindDoc="0" locked="0" layoutInCell="1" allowOverlap="1" wp14:anchorId="756772EE" wp14:editId="1CB10C6C">
          <wp:simplePos x="0" y="0"/>
          <wp:positionH relativeFrom="page">
            <wp:posOffset>5626100</wp:posOffset>
          </wp:positionH>
          <wp:positionV relativeFrom="page">
            <wp:posOffset>9731375</wp:posOffset>
          </wp:positionV>
          <wp:extent cx="1911350" cy="3619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2D83" w14:textId="77777777" w:rsidR="00BF50A3" w:rsidRDefault="00BF50A3">
    <w:pPr>
      <w:pStyle w:val="Stopka"/>
    </w:pPr>
  </w:p>
  <w:p w14:paraId="5C33C78A" w14:textId="77777777" w:rsidR="00BF50A3" w:rsidRDefault="00BF50A3" w:rsidP="00A7271F">
    <w:pPr>
      <w:pStyle w:val="Stopka"/>
      <w:jc w:val="center"/>
    </w:pPr>
  </w:p>
  <w:p w14:paraId="288A6EE0" w14:textId="1B7A6352" w:rsidR="00BF50A3" w:rsidRDefault="00183DAE">
    <w:pPr>
      <w:pStyle w:val="Stopka"/>
    </w:pPr>
    <w:r>
      <w:rPr>
        <w:noProof/>
        <w:lang w:val="pl-PL"/>
      </w:rPr>
      <w:drawing>
        <wp:anchor distT="0" distB="0" distL="114300" distR="114300" simplePos="0" relativeHeight="251663360" behindDoc="0" locked="0" layoutInCell="1" allowOverlap="1" wp14:anchorId="41616682" wp14:editId="50A6592D">
          <wp:simplePos x="0" y="0"/>
          <wp:positionH relativeFrom="page">
            <wp:posOffset>5626100</wp:posOffset>
          </wp:positionH>
          <wp:positionV relativeFrom="page">
            <wp:posOffset>9732010</wp:posOffset>
          </wp:positionV>
          <wp:extent cx="1911350" cy="361950"/>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rPr>
        <w:noProof/>
        <w:lang w:val="pl-PL"/>
      </w:rPr>
      <mc:AlternateContent>
        <mc:Choice Requires="wps">
          <w:drawing>
            <wp:anchor distT="0" distB="0" distL="114300" distR="114300" simplePos="0" relativeHeight="251662336" behindDoc="0" locked="0" layoutInCell="1" allowOverlap="1" wp14:anchorId="18B7E5EC" wp14:editId="61FC48A7">
              <wp:simplePos x="0" y="0"/>
              <wp:positionH relativeFrom="page">
                <wp:posOffset>4161790</wp:posOffset>
              </wp:positionH>
              <wp:positionV relativeFrom="page">
                <wp:posOffset>9742805</wp:posOffset>
              </wp:positionV>
              <wp:extent cx="1193165" cy="380365"/>
              <wp:effectExtent l="0" t="0" r="635" b="635"/>
              <wp:wrapNone/>
              <wp:docPr id="8" name="Pole tekstowe 8"/>
              <wp:cNvGraphicFramePr/>
              <a:graphic xmlns:a="http://schemas.openxmlformats.org/drawingml/2006/main">
                <a:graphicData uri="http://schemas.microsoft.com/office/word/2010/wordprocessingShape">
                  <wps:wsp>
                    <wps:cNvSpPr txBox="1"/>
                    <wps:spPr>
                      <a:xfrm>
                        <a:off x="0" y="0"/>
                        <a:ext cx="1193165" cy="380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a:ext>
                      </a:extLst>
                    </wps:spPr>
                    <wps:txbx>
                      <w:txbxContent>
                        <w:p w14:paraId="69417499" w14:textId="30EE069A" w:rsidR="00BF50A3" w:rsidRPr="005B267F" w:rsidRDefault="00BF50A3" w:rsidP="005B267F">
                          <w:pPr>
                            <w:spacing w:after="0"/>
                            <w:rPr>
                              <w:sz w:val="12"/>
                              <w:szCs w:val="12"/>
                              <w:lang w:val="pl-P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8B7E5EC" id="_x0000_t202" coordsize="21600,21600" o:spt="202" path="m,l,21600r21600,l21600,xe">
              <v:stroke joinstyle="miter"/>
              <v:path gradientshapeok="t" o:connecttype="rect"/>
            </v:shapetype>
            <v:shape id="Pole tekstowe 8" o:spid="_x0000_s1026" type="#_x0000_t202" style="position:absolute;margin-left:327.7pt;margin-top:767.15pt;width:93.95pt;height:29.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" filled="f" stroked="f">
              <v:textbox inset="0,0,0,0">
                <w:txbxContent>
                  <w:p w14:paraId="69417499" w14:textId="30EE069A" w:rsidR="00BF50A3" w:rsidRPr="005B267F" w:rsidRDefault="00BF50A3" w:rsidP="005B267F">
                    <w:pPr>
                      <w:spacing w:after="0"/>
                      <w:rPr>
                        <w:sz w:val="12"/>
                        <w:szCs w:val="12"/>
                        <w:lang w:val="pl-PL"/>
                      </w:rPr>
                    </w:pPr>
                  </w:p>
                </w:txbxContent>
              </v:textbox>
              <w10:wrap anchorx="page" anchory="page"/>
            </v:shape>
          </w:pict>
        </mc:Fallback>
      </mc:AlternateContent>
    </w:r>
    <w:r>
      <w:rPr>
        <w:noProof/>
        <w:lang w:val="pl-PL"/>
      </w:rPr>
      <mc:AlternateContent>
        <mc:Choice Requires="wps">
          <w:drawing>
            <wp:anchor distT="0" distB="0" distL="114300" distR="114300" simplePos="0" relativeHeight="251660288" behindDoc="0" locked="0" layoutInCell="1" allowOverlap="1" wp14:anchorId="09F9A819" wp14:editId="4140FF94">
              <wp:simplePos x="0" y="0"/>
              <wp:positionH relativeFrom="margin">
                <wp:align>left</wp:align>
              </wp:positionH>
              <wp:positionV relativeFrom="page">
                <wp:posOffset>9742805</wp:posOffset>
              </wp:positionV>
              <wp:extent cx="2856865" cy="626745"/>
              <wp:effectExtent l="0" t="0" r="635" b="1905"/>
              <wp:wrapNone/>
              <wp:docPr id="2" name="Pole tekstowe 2"/>
              <wp:cNvGraphicFramePr/>
              <a:graphic xmlns:a="http://schemas.openxmlformats.org/drawingml/2006/main">
                <a:graphicData uri="http://schemas.microsoft.com/office/word/2010/wordprocessingShape">
                  <wps:wsp>
                    <wps:cNvSpPr txBox="1"/>
                    <wps:spPr>
                      <a:xfrm>
                        <a:off x="0" y="0"/>
                        <a:ext cx="2856865" cy="626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a:ext>
                      </a:extLst>
                    </wps:spPr>
                    <wps:txbx>
                      <w:txbxContent>
                        <w:p w14:paraId="47295401" w14:textId="368006A8" w:rsidR="00BF50A3" w:rsidRPr="005B267F" w:rsidRDefault="00BF50A3" w:rsidP="005B267F">
                          <w:pPr>
                            <w:spacing w:after="0"/>
                            <w:rPr>
                              <w:sz w:val="12"/>
                              <w:szCs w:val="12"/>
                              <w:lang w:val="pl-P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09F9A819" id="Pole tekstowe 2" o:spid="_x0000_s1027" type="#_x0000_t202" style="position:absolute;margin-left:0;margin-top:767.15pt;width:224.95pt;height:49.35pt;z-index:25166028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" filled="f" stroked="f">
              <v:textbox inset="0,0,0,0">
                <w:txbxContent>
                  <w:p w14:paraId="47295401" w14:textId="368006A8" w:rsidR="00BF50A3" w:rsidRPr="005B267F" w:rsidRDefault="00BF50A3" w:rsidP="005B267F">
                    <w:pPr>
                      <w:spacing w:after="0"/>
                      <w:rPr>
                        <w:sz w:val="12"/>
                        <w:szCs w:val="12"/>
                        <w:lang w:val="pl-PL"/>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2F29F" w14:textId="77777777" w:rsidR="002B548F" w:rsidRDefault="002B548F">
      <w:pPr>
        <w:spacing w:after="0"/>
      </w:pPr>
      <w:r>
        <w:separator/>
      </w:r>
    </w:p>
  </w:footnote>
  <w:footnote w:type="continuationSeparator" w:id="0">
    <w:p w14:paraId="21AA8CB8" w14:textId="77777777" w:rsidR="002B548F" w:rsidRDefault="002B54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B382" w14:textId="77777777" w:rsidR="002D728F" w:rsidRDefault="002D728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B20D" w14:textId="77777777" w:rsidR="002D728F" w:rsidRDefault="002D728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EC09" w14:textId="77777777" w:rsidR="00BF50A3" w:rsidRDefault="00183DAE">
    <w:pPr>
      <w:pStyle w:val="Nagwek"/>
    </w:pPr>
    <w:r>
      <w:rPr>
        <w:noProof/>
        <w:lang w:val="pl-PL"/>
      </w:rPr>
      <w:drawing>
        <wp:anchor distT="0" distB="0" distL="114300" distR="114300" simplePos="0" relativeHeight="251659264" behindDoc="0" locked="0" layoutInCell="1" allowOverlap="1" wp14:anchorId="4F365DBB" wp14:editId="73B6A83F">
          <wp:simplePos x="0" y="0"/>
          <wp:positionH relativeFrom="page">
            <wp:posOffset>408940</wp:posOffset>
          </wp:positionH>
          <wp:positionV relativeFrom="page">
            <wp:posOffset>391795</wp:posOffset>
          </wp:positionV>
          <wp:extent cx="1860550" cy="478155"/>
          <wp:effectExtent l="0" t="0" r="0" b="444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7815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p>
  <w:p w14:paraId="0D1AECF0" w14:textId="77777777" w:rsidR="00BF50A3" w:rsidRDefault="00BF50A3">
    <w:pPr>
      <w:pStyle w:val="Nagwek"/>
    </w:pPr>
  </w:p>
  <w:p w14:paraId="5D007A98" w14:textId="77777777" w:rsidR="00BF50A3" w:rsidRDefault="00BF50A3">
    <w:pPr>
      <w:pStyle w:val="Nagwek"/>
    </w:pPr>
  </w:p>
  <w:p w14:paraId="766BF707" w14:textId="77777777" w:rsidR="00BF50A3" w:rsidRDefault="00BF50A3">
    <w:pPr>
      <w:pStyle w:val="Nagwek"/>
    </w:pPr>
  </w:p>
  <w:p w14:paraId="26F0B145" w14:textId="77777777" w:rsidR="00BF50A3" w:rsidRDefault="00BF50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75"/>
    <w:multiLevelType w:val="hybridMultilevel"/>
    <w:tmpl w:val="0D7E0EDC"/>
    <w:lvl w:ilvl="0" w:tplc="4E4419A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3DC3605"/>
    <w:multiLevelType w:val="hybridMultilevel"/>
    <w:tmpl w:val="21681B08"/>
    <w:lvl w:ilvl="0" w:tplc="76C60DFA">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833278"/>
    <w:multiLevelType w:val="hybridMultilevel"/>
    <w:tmpl w:val="0D7E0ED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6A648AF"/>
    <w:multiLevelType w:val="hybridMultilevel"/>
    <w:tmpl w:val="5C5EEA2A"/>
    <w:lvl w:ilvl="0" w:tplc="0415000F">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 w15:restartNumberingAfterBreak="0">
    <w:nsid w:val="09A65DBF"/>
    <w:multiLevelType w:val="hybridMultilevel"/>
    <w:tmpl w:val="68B6768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12062E0F"/>
    <w:multiLevelType w:val="hybridMultilevel"/>
    <w:tmpl w:val="C01EC790"/>
    <w:lvl w:ilvl="0" w:tplc="5ADC130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14677570"/>
    <w:multiLevelType w:val="hybridMultilevel"/>
    <w:tmpl w:val="4058F9E2"/>
    <w:lvl w:ilvl="0" w:tplc="037029C4">
      <w:start w:val="1"/>
      <w:numFmt w:val="lowerLetter"/>
      <w:lvlText w:val="%1)"/>
      <w:lvlJc w:val="left"/>
      <w:pPr>
        <w:ind w:left="1080" w:hanging="360"/>
      </w:pPr>
      <w:rPr>
        <w:b w:val="0"/>
        <w:bCs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 w15:restartNumberingAfterBreak="0">
    <w:nsid w:val="17001442"/>
    <w:multiLevelType w:val="hybridMultilevel"/>
    <w:tmpl w:val="3238F52E"/>
    <w:lvl w:ilvl="0" w:tplc="E0DA86F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B6A5BD7"/>
    <w:multiLevelType w:val="hybridMultilevel"/>
    <w:tmpl w:val="7E1676E0"/>
    <w:lvl w:ilvl="0" w:tplc="14E042DC">
      <w:start w:val="4"/>
      <w:numFmt w:val="decimal"/>
      <w:lvlText w:val="%1."/>
      <w:lvlJc w:val="left"/>
      <w:pPr>
        <w:ind w:left="1080" w:hanging="360"/>
      </w:pPr>
      <w:rPr>
        <w:rFonts w:ascii="Verdana" w:hAnsi="Verdana" w:hint="default"/>
        <w:b w:val="0"/>
        <w:bCs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290F73"/>
    <w:multiLevelType w:val="hybridMultilevel"/>
    <w:tmpl w:val="F2F8AB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F0D3891"/>
    <w:multiLevelType w:val="hybridMultilevel"/>
    <w:tmpl w:val="139A45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19B523F"/>
    <w:multiLevelType w:val="hybridMultilevel"/>
    <w:tmpl w:val="8D9E529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rPr>
        <w:b w:val="0"/>
        <w:bCs w:val="0"/>
      </w:r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2" w15:restartNumberingAfterBreak="0">
    <w:nsid w:val="3A551313"/>
    <w:multiLevelType w:val="hybridMultilevel"/>
    <w:tmpl w:val="D1AE9C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B142C90"/>
    <w:multiLevelType w:val="hybridMultilevel"/>
    <w:tmpl w:val="961C2BCC"/>
    <w:lvl w:ilvl="0" w:tplc="F12A5AB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0FF104B"/>
    <w:multiLevelType w:val="hybridMultilevel"/>
    <w:tmpl w:val="EB5E1F08"/>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 w15:restartNumberingAfterBreak="0">
    <w:nsid w:val="51B302DF"/>
    <w:multiLevelType w:val="hybridMultilevel"/>
    <w:tmpl w:val="68B6768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 w15:restartNumberingAfterBreak="0">
    <w:nsid w:val="52316AA3"/>
    <w:multiLevelType w:val="hybridMultilevel"/>
    <w:tmpl w:val="79B812C0"/>
    <w:lvl w:ilvl="0" w:tplc="80583898">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55CC3EB5"/>
    <w:multiLevelType w:val="hybridMultilevel"/>
    <w:tmpl w:val="42C4B02A"/>
    <w:lvl w:ilvl="0" w:tplc="87E4BF24">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C1A1336"/>
    <w:multiLevelType w:val="hybridMultilevel"/>
    <w:tmpl w:val="FC3AFE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71CE3147"/>
    <w:multiLevelType w:val="hybridMultilevel"/>
    <w:tmpl w:val="EB5E1F08"/>
    <w:lvl w:ilvl="0" w:tplc="D442669C">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0" w15:restartNumberingAfterBreak="0">
    <w:nsid w:val="72B42494"/>
    <w:multiLevelType w:val="hybridMultilevel"/>
    <w:tmpl w:val="026092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8F1C0D"/>
    <w:multiLevelType w:val="hybridMultilevel"/>
    <w:tmpl w:val="B504104E"/>
    <w:lvl w:ilvl="0" w:tplc="CB9A49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7D4B7013"/>
    <w:multiLevelType w:val="hybridMultilevel"/>
    <w:tmpl w:val="9FBA31B0"/>
    <w:lvl w:ilvl="0" w:tplc="5F0E31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7F344921"/>
    <w:multiLevelType w:val="hybridMultilevel"/>
    <w:tmpl w:val="8D9E5296"/>
    <w:lvl w:ilvl="0" w:tplc="2A56AE00">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956E3836">
      <w:start w:val="1"/>
      <w:numFmt w:val="decimal"/>
      <w:lvlText w:val="%4."/>
      <w:lvlJc w:val="left"/>
      <w:pPr>
        <w:ind w:left="3240" w:hanging="360"/>
      </w:pPr>
      <w:rPr>
        <w:b w:val="0"/>
        <w:bCs w:val="0"/>
      </w:r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16cid:durableId="513619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77026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91942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40233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0699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51090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4860410">
    <w:abstractNumId w:val="17"/>
  </w:num>
  <w:num w:numId="8" w16cid:durableId="4875240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32359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4803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012588">
    <w:abstractNumId w:val="11"/>
  </w:num>
  <w:num w:numId="12" w16cid:durableId="1629820946">
    <w:abstractNumId w:val="7"/>
  </w:num>
  <w:num w:numId="13" w16cid:durableId="455224684">
    <w:abstractNumId w:val="4"/>
  </w:num>
  <w:num w:numId="14" w16cid:durableId="1437019225">
    <w:abstractNumId w:val="14"/>
  </w:num>
  <w:num w:numId="15" w16cid:durableId="335232680">
    <w:abstractNumId w:val="21"/>
  </w:num>
  <w:num w:numId="16" w16cid:durableId="1721438840">
    <w:abstractNumId w:val="22"/>
  </w:num>
  <w:num w:numId="17" w16cid:durableId="833912047">
    <w:abstractNumId w:val="15"/>
  </w:num>
  <w:num w:numId="18" w16cid:durableId="799611714">
    <w:abstractNumId w:val="8"/>
  </w:num>
  <w:num w:numId="19" w16cid:durableId="1209878725">
    <w:abstractNumId w:val="0"/>
  </w:num>
  <w:num w:numId="20" w16cid:durableId="1821535762">
    <w:abstractNumId w:val="3"/>
  </w:num>
  <w:num w:numId="21" w16cid:durableId="1786465116">
    <w:abstractNumId w:val="12"/>
  </w:num>
  <w:num w:numId="22" w16cid:durableId="53164572">
    <w:abstractNumId w:val="20"/>
  </w:num>
  <w:num w:numId="23" w16cid:durableId="1163282946">
    <w:abstractNumId w:val="1"/>
  </w:num>
  <w:num w:numId="24" w16cid:durableId="93021852">
    <w:abstractNumId w:val="13"/>
  </w:num>
  <w:num w:numId="25" w16cid:durableId="1828354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BB"/>
    <w:rsid w:val="00004215"/>
    <w:rsid w:val="00017E8C"/>
    <w:rsid w:val="00064EE0"/>
    <w:rsid w:val="000807BB"/>
    <w:rsid w:val="000827F7"/>
    <w:rsid w:val="00085D6C"/>
    <w:rsid w:val="000B531E"/>
    <w:rsid w:val="000C046A"/>
    <w:rsid w:val="000E55A9"/>
    <w:rsid w:val="000F0BA6"/>
    <w:rsid w:val="000F7579"/>
    <w:rsid w:val="0010436F"/>
    <w:rsid w:val="00120555"/>
    <w:rsid w:val="00144C3E"/>
    <w:rsid w:val="00172EA9"/>
    <w:rsid w:val="00183DAE"/>
    <w:rsid w:val="00185F10"/>
    <w:rsid w:val="001903E9"/>
    <w:rsid w:val="00193A3B"/>
    <w:rsid w:val="001B0403"/>
    <w:rsid w:val="001F1A3D"/>
    <w:rsid w:val="001F491B"/>
    <w:rsid w:val="00246044"/>
    <w:rsid w:val="0027260B"/>
    <w:rsid w:val="002A4990"/>
    <w:rsid w:val="002B548F"/>
    <w:rsid w:val="002D728F"/>
    <w:rsid w:val="002F21D9"/>
    <w:rsid w:val="0035030C"/>
    <w:rsid w:val="00375ED9"/>
    <w:rsid w:val="003F5199"/>
    <w:rsid w:val="004310BE"/>
    <w:rsid w:val="00440E0F"/>
    <w:rsid w:val="004615DB"/>
    <w:rsid w:val="004A371A"/>
    <w:rsid w:val="004A5653"/>
    <w:rsid w:val="004C7114"/>
    <w:rsid w:val="004D0A8D"/>
    <w:rsid w:val="004F20A1"/>
    <w:rsid w:val="005269A9"/>
    <w:rsid w:val="00544D6D"/>
    <w:rsid w:val="00546112"/>
    <w:rsid w:val="00585519"/>
    <w:rsid w:val="00627B67"/>
    <w:rsid w:val="006A2E62"/>
    <w:rsid w:val="007013CF"/>
    <w:rsid w:val="00715F19"/>
    <w:rsid w:val="007244BB"/>
    <w:rsid w:val="00733687"/>
    <w:rsid w:val="007D6967"/>
    <w:rsid w:val="007E7F28"/>
    <w:rsid w:val="008E1BA5"/>
    <w:rsid w:val="008E6671"/>
    <w:rsid w:val="00900716"/>
    <w:rsid w:val="009234A4"/>
    <w:rsid w:val="00952626"/>
    <w:rsid w:val="00953BD8"/>
    <w:rsid w:val="009C39C4"/>
    <w:rsid w:val="009F422C"/>
    <w:rsid w:val="00A23E23"/>
    <w:rsid w:val="00A73E52"/>
    <w:rsid w:val="00A91B8F"/>
    <w:rsid w:val="00A95744"/>
    <w:rsid w:val="00AA7C94"/>
    <w:rsid w:val="00B5314F"/>
    <w:rsid w:val="00B650B7"/>
    <w:rsid w:val="00B66235"/>
    <w:rsid w:val="00B73C19"/>
    <w:rsid w:val="00BA15AA"/>
    <w:rsid w:val="00BA7F32"/>
    <w:rsid w:val="00BB6BAD"/>
    <w:rsid w:val="00BE4A09"/>
    <w:rsid w:val="00BF50A3"/>
    <w:rsid w:val="00C07935"/>
    <w:rsid w:val="00C17D14"/>
    <w:rsid w:val="00C2031B"/>
    <w:rsid w:val="00C40816"/>
    <w:rsid w:val="00C4592F"/>
    <w:rsid w:val="00D75DAC"/>
    <w:rsid w:val="00D80D77"/>
    <w:rsid w:val="00D849D0"/>
    <w:rsid w:val="00DF3E5A"/>
    <w:rsid w:val="00E163BB"/>
    <w:rsid w:val="00E17345"/>
    <w:rsid w:val="00E471E8"/>
    <w:rsid w:val="00E5487C"/>
    <w:rsid w:val="00F3395C"/>
    <w:rsid w:val="00F345C5"/>
    <w:rsid w:val="00F6071C"/>
    <w:rsid w:val="00F90318"/>
    <w:rsid w:val="00F922E8"/>
    <w:rsid w:val="00FA5F5F"/>
    <w:rsid w:val="00FB29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988AC"/>
  <w15:chartTrackingRefBased/>
  <w15:docId w15:val="{83F02CFC-EFEB-4D59-B063-6652C683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07BB"/>
    <w:pPr>
      <w:spacing w:after="120" w:line="240" w:lineRule="auto"/>
    </w:pPr>
    <w:rPr>
      <w:rFonts w:ascii="Arial" w:eastAsiaTheme="minorEastAsia" w:hAnsi="Arial"/>
      <w:color w:val="595959" w:themeColor="text1" w:themeTint="A6"/>
      <w:sz w:val="18"/>
      <w:szCs w:val="24"/>
      <w:lang w:val="cs-CZ"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807BB"/>
    <w:pPr>
      <w:tabs>
        <w:tab w:val="center" w:pos="4536"/>
        <w:tab w:val="right" w:pos="9072"/>
      </w:tabs>
    </w:pPr>
  </w:style>
  <w:style w:type="character" w:customStyle="1" w:styleId="NagwekZnak">
    <w:name w:val="Nagłówek Znak"/>
    <w:basedOn w:val="Domylnaczcionkaakapitu"/>
    <w:link w:val="Nagwek"/>
    <w:uiPriority w:val="99"/>
    <w:rsid w:val="000807BB"/>
    <w:rPr>
      <w:rFonts w:ascii="Arial" w:eastAsiaTheme="minorEastAsia" w:hAnsi="Arial"/>
      <w:color w:val="595959" w:themeColor="text1" w:themeTint="A6"/>
      <w:sz w:val="18"/>
      <w:szCs w:val="24"/>
      <w:lang w:val="cs-CZ" w:eastAsia="pl-PL"/>
    </w:rPr>
  </w:style>
  <w:style w:type="paragraph" w:styleId="Stopka">
    <w:name w:val="footer"/>
    <w:basedOn w:val="Normalny"/>
    <w:link w:val="StopkaZnak"/>
    <w:uiPriority w:val="99"/>
    <w:unhideWhenUsed/>
    <w:rsid w:val="000807BB"/>
    <w:pPr>
      <w:tabs>
        <w:tab w:val="center" w:pos="4536"/>
        <w:tab w:val="right" w:pos="9072"/>
      </w:tabs>
    </w:pPr>
  </w:style>
  <w:style w:type="character" w:customStyle="1" w:styleId="StopkaZnak">
    <w:name w:val="Stopka Znak"/>
    <w:basedOn w:val="Domylnaczcionkaakapitu"/>
    <w:link w:val="Stopka"/>
    <w:uiPriority w:val="99"/>
    <w:rsid w:val="000807BB"/>
    <w:rPr>
      <w:rFonts w:ascii="Arial" w:eastAsiaTheme="minorEastAsia" w:hAnsi="Arial"/>
      <w:color w:val="595959" w:themeColor="text1" w:themeTint="A6"/>
      <w:sz w:val="18"/>
      <w:szCs w:val="24"/>
      <w:lang w:val="cs-CZ" w:eastAsia="pl-PL"/>
    </w:rPr>
  </w:style>
  <w:style w:type="paragraph" w:styleId="Akapitzlist">
    <w:name w:val="List Paragraph"/>
    <w:basedOn w:val="Normalny"/>
    <w:uiPriority w:val="34"/>
    <w:qFormat/>
    <w:rsid w:val="000807BB"/>
    <w:pPr>
      <w:ind w:left="720"/>
      <w:contextualSpacing/>
    </w:pPr>
  </w:style>
  <w:style w:type="character" w:styleId="Hipercze">
    <w:name w:val="Hyperlink"/>
    <w:basedOn w:val="Domylnaczcionkaakapitu"/>
    <w:uiPriority w:val="99"/>
    <w:unhideWhenUsed/>
    <w:rsid w:val="000807BB"/>
    <w:rPr>
      <w:color w:val="0563C1" w:themeColor="hyperlink"/>
      <w:u w:val="single"/>
    </w:rPr>
  </w:style>
  <w:style w:type="character" w:styleId="Odwoaniedokomentarza">
    <w:name w:val="annotation reference"/>
    <w:basedOn w:val="Domylnaczcionkaakapitu"/>
    <w:uiPriority w:val="99"/>
    <w:semiHidden/>
    <w:unhideWhenUsed/>
    <w:rsid w:val="000807BB"/>
    <w:rPr>
      <w:sz w:val="16"/>
      <w:szCs w:val="16"/>
    </w:rPr>
  </w:style>
  <w:style w:type="paragraph" w:styleId="Tekstkomentarza">
    <w:name w:val="annotation text"/>
    <w:basedOn w:val="Normalny"/>
    <w:link w:val="TekstkomentarzaZnak"/>
    <w:uiPriority w:val="99"/>
    <w:unhideWhenUsed/>
    <w:rsid w:val="000807BB"/>
    <w:rPr>
      <w:sz w:val="20"/>
      <w:szCs w:val="20"/>
    </w:rPr>
  </w:style>
  <w:style w:type="character" w:customStyle="1" w:styleId="TekstkomentarzaZnak">
    <w:name w:val="Tekst komentarza Znak"/>
    <w:basedOn w:val="Domylnaczcionkaakapitu"/>
    <w:link w:val="Tekstkomentarza"/>
    <w:uiPriority w:val="99"/>
    <w:rsid w:val="000807BB"/>
    <w:rPr>
      <w:rFonts w:ascii="Arial" w:eastAsiaTheme="minorEastAsia" w:hAnsi="Arial"/>
      <w:color w:val="595959" w:themeColor="text1" w:themeTint="A6"/>
      <w:sz w:val="20"/>
      <w:szCs w:val="20"/>
      <w:lang w:val="cs-CZ" w:eastAsia="pl-PL"/>
    </w:rPr>
  </w:style>
  <w:style w:type="paragraph" w:styleId="Tematkomentarza">
    <w:name w:val="annotation subject"/>
    <w:basedOn w:val="Tekstkomentarza"/>
    <w:next w:val="Tekstkomentarza"/>
    <w:link w:val="TematkomentarzaZnak"/>
    <w:uiPriority w:val="99"/>
    <w:semiHidden/>
    <w:unhideWhenUsed/>
    <w:rsid w:val="00BE4A09"/>
    <w:rPr>
      <w:b/>
      <w:bCs/>
    </w:rPr>
  </w:style>
  <w:style w:type="character" w:customStyle="1" w:styleId="TematkomentarzaZnak">
    <w:name w:val="Temat komentarza Znak"/>
    <w:basedOn w:val="TekstkomentarzaZnak"/>
    <w:link w:val="Tematkomentarza"/>
    <w:uiPriority w:val="99"/>
    <w:semiHidden/>
    <w:rsid w:val="00BE4A09"/>
    <w:rPr>
      <w:rFonts w:ascii="Arial" w:eastAsiaTheme="minorEastAsia" w:hAnsi="Arial"/>
      <w:b/>
      <w:bCs/>
      <w:color w:val="595959" w:themeColor="text1" w:themeTint="A6"/>
      <w:sz w:val="20"/>
      <w:szCs w:val="20"/>
      <w:lang w:val="cs-CZ" w:eastAsia="pl-PL"/>
    </w:rPr>
  </w:style>
  <w:style w:type="paragraph" w:styleId="Poprawka">
    <w:name w:val="Revision"/>
    <w:hidden/>
    <w:uiPriority w:val="99"/>
    <w:semiHidden/>
    <w:rsid w:val="00BE4A09"/>
    <w:pPr>
      <w:spacing w:after="0" w:line="240" w:lineRule="auto"/>
    </w:pPr>
    <w:rPr>
      <w:rFonts w:ascii="Arial" w:eastAsiaTheme="minorEastAsia" w:hAnsi="Arial"/>
      <w:color w:val="595959" w:themeColor="text1" w:themeTint="A6"/>
      <w:sz w:val="18"/>
      <w:szCs w:val="24"/>
      <w:lang w:val="cs-CZ"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licencje@gpwbenchmark.p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9263484a-4811-448b-b935-4ccfcdbbdeea" origin="userSelected">
  <element uid="697367d0-0d11-4d4e-80a2-256155fcabe6" value=""/>
  <element uid="6ae41dc2-d6e3-43de-956f-09b682450a97" value=""/>
</sisl>
</file>

<file path=customXml/item2.xml><?xml version="1.0" encoding="utf-8"?>
<ct:contentTypeSchema xmlns:ct="http://schemas.microsoft.com/office/2006/metadata/contentType" xmlns:ma="http://schemas.microsoft.com/office/2006/metadata/properties/metaAttributes" ct:_="" ma:_="" ma:contentTypeName="Dokument" ma:contentTypeID="0x0101003493E0076190734DB8A62F55E1652336" ma:contentTypeVersion="10" ma:contentTypeDescription="Utwórz nowy dokument." ma:contentTypeScope="" ma:versionID="d0112ea05d0e5ee4dedf4c9bc2f15cbd">
  <xsd:schema xmlns:xsd="http://www.w3.org/2001/XMLSchema" xmlns:xs="http://www.w3.org/2001/XMLSchema" xmlns:p="http://schemas.microsoft.com/office/2006/metadata/properties" xmlns:ns3="9184d890-c1f9-41c4-8596-d00b9e6d4275" targetNamespace="http://schemas.microsoft.com/office/2006/metadata/properties" ma:root="true" ma:fieldsID="9a6323b4053a175abc52ea95871943f2" ns3:_="">
    <xsd:import namespace="9184d890-c1f9-41c4-8596-d00b9e6d427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4d890-c1f9-41c4-8596-d00b9e6d427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184d890-c1f9-41c4-8596-d00b9e6d427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64F92-B794-4BAC-B521-2DC1A4793AB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BAA682A-014C-43B1-953D-2B06B8878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4d890-c1f9-41c4-8596-d00b9e6d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B300A4-629D-4EDC-9F08-41155CBD7EF4}">
  <ds:schemaRefs>
    <ds:schemaRef ds:uri="http://schemas.microsoft.com/sharepoint/v3/contenttype/forms"/>
  </ds:schemaRefs>
</ds:datastoreItem>
</file>

<file path=customXml/itemProps4.xml><?xml version="1.0" encoding="utf-8"?>
<ds:datastoreItem xmlns:ds="http://schemas.openxmlformats.org/officeDocument/2006/customXml" ds:itemID="{87565926-CA4C-4AB6-8743-438F55E5FE4B}">
  <ds:schemaRefs>
    <ds:schemaRef ds:uri="http://schemas.microsoft.com/office/2006/metadata/properties"/>
    <ds:schemaRef ds:uri="http://schemas.microsoft.com/office/infopath/2007/PartnerControls"/>
    <ds:schemaRef ds:uri="9184d890-c1f9-41c4-8596-d00b9e6d4275"/>
  </ds:schemaRefs>
</ds:datastoreItem>
</file>

<file path=customXml/itemProps5.xml><?xml version="1.0" encoding="utf-8"?>
<ds:datastoreItem xmlns:ds="http://schemas.openxmlformats.org/officeDocument/2006/customXml" ds:itemID="{DC1301B5-6ED0-466D-A5F1-693CBEC9201B}">
  <ds:schemaRefs>
    <ds:schemaRef ds:uri="http://schemas.openxmlformats.org/officeDocument/2006/bibliography"/>
  </ds:schemaRefs>
</ds:datastoreItem>
</file>

<file path=docMetadata/LabelInfo.xml><?xml version="1.0" encoding="utf-8"?>
<clbl:labelList xmlns:clbl="http://schemas.microsoft.com/office/2020/mipLabelMetadata">
  <clbl:label id="{3f73a98e-887f-481e-8ac1-65f3f2f868be}"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3432</Words>
  <Characters>20593</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Walkowiak Piotr</dc:creator>
  <cp:keywords>#Kategoria: [Wewnętrzne/Dane osobowe &lt; 10 wpisów]#</cp:keywords>
  <dc:description/>
  <cp:lastModifiedBy>Walkowiak Piotr</cp:lastModifiedBy>
  <cp:revision>2</cp:revision>
  <cp:lastPrinted>2026-03-05T11:08:00Z</cp:lastPrinted>
  <dcterms:created xsi:type="dcterms:W3CDTF">2026-05-18T12:20:00Z</dcterms:created>
  <dcterms:modified xsi:type="dcterms:W3CDTF">2026-05-18T12:20:00Z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2de700ff-3ea0-460d-a44f-371bcd9a4530</vt:lpwstr>
  </property>
  <property fmtid="{D5CDD505-2E9C-101B-9397-08002B2CF9AE}" pid="3" name="bjSaver">
    <vt:lpwstr>7Em2aJQzNrp33OScealgO6Cda7mGHEP8</vt:lpwstr>
  </property>
  <property fmtid="{D5CDD505-2E9C-101B-9397-08002B2CF9AE}" pid="4" name="bjDocumentLabelXML">
    <vt:lpwstr>&lt;?xml version="1.0" encoding="us-ascii"?&gt;&lt;sisl xmlns:xsd="http://www.w3.org/2001/XMLSchema" xmlns:xsi="http://www.w3.org/2001/XMLSchema-instance" sislVersion="0" policy="9263484a-4811-448b-b935-4ccfcdbbdeea" origin="userSelected" xmlns="http://www.boldonj</vt:lpwstr>
  </property>
  <property fmtid="{D5CDD505-2E9C-101B-9397-08002B2CF9AE}" pid="5" name="bjDocumentLabelXML-0">
    <vt:lpwstr>ames.com/2008/01/sie/internal/label"&gt;&lt;element uid="697367d0-0d11-4d4e-80a2-256155fcabe6" value="" /&gt;&lt;element uid="6ae41dc2-d6e3-43de-956f-09b682450a97" value="" /&gt;&lt;/sisl&gt;</vt:lpwstr>
  </property>
  <property fmtid="{D5CDD505-2E9C-101B-9397-08002B2CF9AE}" pid="6" name="bjDocumentSecurityLabel">
    <vt:lpwstr>Kategoria: Wewnętrzne/Dane osobowe &lt; 10 wpisów</vt:lpwstr>
  </property>
  <property fmtid="{D5CDD505-2E9C-101B-9397-08002B2CF9AE}" pid="7" name="ContentTypeId">
    <vt:lpwstr>0x0101003493E0076190734DB8A62F55E1652336</vt:lpwstr>
  </property>
</Properties>
</file>